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მთავრობის</w:t>
      </w:r>
      <w:r w:rsidR="005A44F5" w:rsidRPr="0057502A">
        <w:rPr>
          <w:rFonts w:ascii="Sylfaen" w:hAnsi="Sylfaen"/>
          <w:b/>
          <w:sz w:val="28"/>
          <w:lang w:val="ka-GE"/>
        </w:rPr>
        <w:t xml:space="preserve"> ვალი</w:t>
      </w:r>
    </w:p>
    <w:p w:rsidR="00AF4C0D" w:rsidRDefault="00CC46C4" w:rsidP="00AF4C0D">
      <w:pPr>
        <w:spacing w:after="0"/>
        <w:jc w:val="both"/>
        <w:rPr>
          <w:rFonts w:ascii="Sylfaen" w:eastAsia="Times New Roman" w:hAnsi="Sylfaen" w:cs="Arial"/>
          <w:sz w:val="20"/>
          <w:szCs w:val="20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4D0CBB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4D0CBB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 w:rsidRPr="004D0CBB">
        <w:rPr>
          <w:rFonts w:ascii="Sylfaen" w:hAnsi="Sylfaen" w:cs="Sylfaen"/>
          <w:szCs w:val="21"/>
          <w:shd w:val="clear" w:color="auto" w:fill="FFFFFF"/>
        </w:rPr>
        <w:t>9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C2EF4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4D0CB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FE49DC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 შეადგენს</w:t>
      </w:r>
      <w:r w:rsidR="008D559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D5596" w:rsidRPr="008D5596">
        <w:rPr>
          <w:rFonts w:ascii="Sylfaen" w:hAnsi="Sylfaen" w:cs="Sylfaen"/>
          <w:szCs w:val="21"/>
          <w:shd w:val="clear" w:color="auto" w:fill="FFFFFF"/>
          <w:lang w:val="ka-GE"/>
        </w:rPr>
        <w:t xml:space="preserve">19 </w:t>
      </w:r>
      <w:r w:rsidR="008D5596">
        <w:rPr>
          <w:rFonts w:ascii="Sylfaen" w:hAnsi="Sylfaen" w:cs="Sylfaen"/>
          <w:szCs w:val="21"/>
          <w:shd w:val="clear" w:color="auto" w:fill="FFFFFF"/>
          <w:lang w:val="ka-GE"/>
        </w:rPr>
        <w:t>329.1</w:t>
      </w:r>
      <w:r w:rsidR="008D5596">
        <w:rPr>
          <w:rFonts w:ascii="Sylfaen" w:eastAsia="Times New Roman" w:hAnsi="Sylfaen" w:cs="Arial"/>
          <w:sz w:val="20"/>
          <w:szCs w:val="20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4D0CBB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9B63F3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="00EB0989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2F1672" w:rsidRPr="002F1672">
        <w:rPr>
          <w:rFonts w:ascii="Sylfaen" w:hAnsi="Sylfaen" w:cs="Sylfaen"/>
          <w:szCs w:val="21"/>
          <w:shd w:val="clear" w:color="auto" w:fill="FFFFFF"/>
          <w:lang w:val="ka-GE"/>
        </w:rPr>
        <w:t xml:space="preserve">19 </w:t>
      </w:r>
      <w:r w:rsidR="008D5596">
        <w:rPr>
          <w:rFonts w:ascii="Sylfaen" w:hAnsi="Sylfaen" w:cs="Sylfaen"/>
          <w:szCs w:val="21"/>
          <w:shd w:val="clear" w:color="auto" w:fill="FFFFFF"/>
        </w:rPr>
        <w:t>322</w:t>
      </w:r>
      <w:r w:rsidR="002F1672" w:rsidRPr="002F1672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D5596">
        <w:rPr>
          <w:rFonts w:ascii="Sylfaen" w:hAnsi="Sylfaen" w:cs="Sylfaen"/>
          <w:szCs w:val="21"/>
          <w:shd w:val="clear" w:color="auto" w:fill="FFFFFF"/>
        </w:rPr>
        <w:t>8</w:t>
      </w:r>
      <w:r w:rsidR="008D5596">
        <w:rPr>
          <w:rFonts w:ascii="Sylfaen" w:eastAsia="Times New Roman" w:hAnsi="Sylfaen" w:cs="Arial"/>
          <w:sz w:val="20"/>
          <w:szCs w:val="20"/>
        </w:rPr>
        <w:t xml:space="preserve">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3E43A7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E43A7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B2672E">
        <w:rPr>
          <w:rFonts w:ascii="Sylfaen" w:hAnsi="Sylfaen"/>
          <w:szCs w:val="21"/>
          <w:shd w:val="clear" w:color="auto" w:fill="FFFFFF"/>
          <w:lang w:val="ka-GE"/>
        </w:rPr>
        <w:t>ი ვალის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242810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2F1672">
        <w:rPr>
          <w:rFonts w:ascii="Sylfaen" w:hAnsi="Sylfaen"/>
          <w:szCs w:val="21"/>
          <w:shd w:val="clear" w:color="auto" w:fill="FFFFFF"/>
        </w:rPr>
        <w:t>6.4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  <w:r w:rsidR="00E01FEC">
        <w:rPr>
          <w:rFonts w:ascii="Sylfaen" w:eastAsia="Times New Roman" w:hAnsi="Sylfaen" w:cs="Arial"/>
          <w:sz w:val="20"/>
          <w:szCs w:val="20"/>
        </w:rPr>
        <w:t xml:space="preserve"> </w:t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  <w:r w:rsidR="00E01FEC">
        <w:rPr>
          <w:rFonts w:ascii="Sylfaen" w:eastAsia="Times New Roman" w:hAnsi="Sylfaen" w:cs="Arial"/>
          <w:sz w:val="20"/>
          <w:szCs w:val="20"/>
        </w:rPr>
        <w:tab/>
      </w:r>
    </w:p>
    <w:p w:rsidR="006F4202" w:rsidRPr="001B25C2" w:rsidRDefault="00FB01F8" w:rsidP="00AF4C0D">
      <w:pPr>
        <w:spacing w:after="0"/>
        <w:ind w:firstLine="720"/>
        <w:jc w:val="both"/>
        <w:rPr>
          <w:rFonts w:ascii="Sylfaen" w:eastAsia="Times New Roman" w:hAnsi="Sylfaen" w:cs="Arial"/>
          <w:sz w:val="20"/>
          <w:szCs w:val="20"/>
        </w:rPr>
      </w:pPr>
      <w:r w:rsidRPr="00510802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1B25C2">
        <w:rPr>
          <w:rFonts w:ascii="Sylfaen" w:hAnsi="Sylfaen"/>
          <w:szCs w:val="21"/>
          <w:shd w:val="clear" w:color="auto" w:fill="FFFFFF"/>
          <w:lang w:val="ka-GE"/>
        </w:rPr>
        <w:t xml:space="preserve">15 </w:t>
      </w:r>
      <w:r w:rsidR="001B25C2" w:rsidRPr="001B25C2">
        <w:rPr>
          <w:rFonts w:ascii="Sylfaen" w:hAnsi="Sylfaen"/>
          <w:szCs w:val="21"/>
          <w:shd w:val="clear" w:color="auto" w:fill="FFFFFF"/>
          <w:lang w:val="ka-GE"/>
        </w:rPr>
        <w:t>446.9</w:t>
      </w:r>
      <w:r w:rsidR="001B25C2">
        <w:rPr>
          <w:rFonts w:ascii="Sylfaen" w:eastAsia="Times New Roman" w:hAnsi="Sylfaen" w:cs="Arial"/>
          <w:sz w:val="20"/>
          <w:szCs w:val="20"/>
        </w:rPr>
        <w:t xml:space="preserve">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CB5065" w:rsidRPr="00544364">
        <w:rPr>
          <w:rFonts w:ascii="Sylfaen" w:hAnsi="Sylfaen"/>
          <w:szCs w:val="21"/>
          <w:shd w:val="clear" w:color="auto" w:fill="FFFFFF"/>
          <w:lang w:val="ka-GE"/>
        </w:rPr>
        <w:t>8</w:t>
      </w:r>
      <w:r w:rsidR="001B25C2">
        <w:rPr>
          <w:rFonts w:ascii="Sylfaen" w:hAnsi="Sylfaen"/>
          <w:szCs w:val="21"/>
          <w:shd w:val="clear" w:color="auto" w:fill="FFFFFF"/>
        </w:rPr>
        <w:t>0</w:t>
      </w:r>
      <w:r w:rsidR="006F4202" w:rsidRPr="00510802">
        <w:rPr>
          <w:rFonts w:ascii="Sylfaen" w:hAnsi="Sylfaen"/>
          <w:szCs w:val="21"/>
          <w:shd w:val="clear" w:color="auto" w:fill="FFFFFF"/>
        </w:rPr>
        <w:t>%-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1B25C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</w:t>
      </w:r>
      <w:r w:rsidR="001B25C2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="001B25C2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 ინფრასტრუქტურული პროექტების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დასაფინანსებლად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ს პორტფელი შეღავათიანია და </w:t>
      </w:r>
      <w:r w:rsidR="006F4202" w:rsidRPr="00662694">
        <w:rPr>
          <w:rFonts w:ascii="Sylfaen" w:hAnsi="Sylfaen" w:cs="Sylfaen"/>
          <w:szCs w:val="21"/>
          <w:shd w:val="clear" w:color="auto" w:fill="FFFFFF"/>
          <w:lang w:val="ka-GE"/>
        </w:rPr>
        <w:t>ძირითადად შედგება გრძელვადიანი სესხებისგან -</w:t>
      </w:r>
      <w:r w:rsidR="006F4202" w:rsidRPr="0066269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6269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66269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662694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66269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62694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66269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62694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662694">
        <w:rPr>
          <w:rFonts w:ascii="Sylfaen" w:hAnsi="Sylfaen"/>
          <w:szCs w:val="21"/>
          <w:shd w:val="clear" w:color="auto" w:fill="FFFFFF"/>
        </w:rPr>
        <w:t xml:space="preserve"> </w:t>
      </w:r>
      <w:r w:rsidR="00551980" w:rsidRPr="00662694">
        <w:rPr>
          <w:rFonts w:ascii="Sylfaen" w:hAnsi="Sylfaen"/>
          <w:szCs w:val="21"/>
          <w:shd w:val="clear" w:color="auto" w:fill="FFFFFF"/>
        </w:rPr>
        <w:t>22</w:t>
      </w:r>
      <w:r w:rsidR="002A3C73" w:rsidRPr="00662694">
        <w:rPr>
          <w:rFonts w:ascii="Sylfaen" w:hAnsi="Sylfaen"/>
          <w:szCs w:val="21"/>
          <w:shd w:val="clear" w:color="auto" w:fill="FFFFFF"/>
          <w:lang w:val="ka-GE"/>
        </w:rPr>
        <w:t>.</w:t>
      </w:r>
      <w:r w:rsidR="00551980" w:rsidRPr="00662694">
        <w:rPr>
          <w:rFonts w:ascii="Sylfaen" w:hAnsi="Sylfaen"/>
          <w:szCs w:val="21"/>
          <w:shd w:val="clear" w:color="auto" w:fill="FFFFFF"/>
        </w:rPr>
        <w:t>0</w:t>
      </w:r>
      <w:r w:rsidR="00C126E1" w:rsidRPr="0066269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662694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662694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66269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66269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E17E10" w:rsidRPr="00662694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662694">
        <w:rPr>
          <w:rFonts w:ascii="Sylfaen" w:hAnsi="Sylfaen"/>
          <w:szCs w:val="21"/>
          <w:shd w:val="clear" w:color="auto" w:fill="FFFFFF"/>
        </w:rPr>
        <w:t>.</w:t>
      </w:r>
      <w:r w:rsidR="00551980" w:rsidRPr="00662694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66269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62694">
        <w:rPr>
          <w:rFonts w:ascii="Sylfaen" w:hAnsi="Sylfaen"/>
          <w:szCs w:val="21"/>
          <w:shd w:val="clear" w:color="auto" w:fill="FFFFFF"/>
          <w:lang w:val="ka-GE"/>
        </w:rPr>
        <w:t>წელს, ხოლო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CB36D7" w:rsidRPr="00A33B48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B32BDD">
        <w:rPr>
          <w:rFonts w:ascii="Sylfaen" w:hAnsi="Sylfaen" w:cs="Sylfaen"/>
          <w:szCs w:val="21"/>
          <w:shd w:val="clear" w:color="auto" w:fill="FFFFFF"/>
        </w:rPr>
        <w:t>1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784855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/>
          <w:b/>
          <w:szCs w:val="18"/>
          <w:shd w:val="clear" w:color="auto" w:fill="FFFFFF"/>
          <w:lang w:val="ka-GE"/>
        </w:rPr>
        <w:t>9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551980">
        <w:rPr>
          <w:rFonts w:ascii="Sylfaen" w:hAnsi="Sylfaen" w:cs="Sylfaen"/>
          <w:b/>
          <w:szCs w:val="18"/>
          <w:shd w:val="clear" w:color="auto" w:fill="FFFFFF"/>
        </w:rPr>
        <w:t>31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532055" w:rsidRPr="00532055">
        <w:rPr>
          <w:rFonts w:ascii="Sylfaen" w:hAnsi="Sylfaen" w:cs="Sylfaen"/>
          <w:b/>
          <w:szCs w:val="18"/>
          <w:shd w:val="clear" w:color="auto" w:fill="FFFFFF"/>
          <w:lang w:val="ka-GE"/>
        </w:rPr>
        <w:t>ოქტომბრის</w:t>
      </w:r>
      <w:r w:rsidR="0053205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B57E95" w:rsidRPr="00B32BDD" w:rsidRDefault="00CC1535" w:rsidP="00414D1C">
      <w:pPr>
        <w:spacing w:line="240" w:lineRule="auto"/>
        <w:jc w:val="both"/>
        <w:rPr>
          <w:rFonts w:ascii="Sylfaen" w:hAnsi="Sylfaen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7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7" cy="626745"/>
                          <a:chOff x="-2" y="0"/>
                          <a:chExt cx="2620027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0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85693" w:rsidRPr="00662694" w:rsidRDefault="0018569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185693" w:rsidRPr="00662694" w:rsidRDefault="0018569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185693" w:rsidRPr="00662694" w:rsidRDefault="0018569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22.0 წელი</w:t>
                              </w:r>
                            </w:p>
                            <w:p w:rsidR="00185693" w:rsidRPr="00DE4001" w:rsidRDefault="0018569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662694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6269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8.1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185693" w:rsidRPr="00662694" w:rsidRDefault="0018569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185693" w:rsidRPr="00662694" w:rsidRDefault="0018569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6269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 w:rsidRPr="0066269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66269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185693" w:rsidRPr="00662694" w:rsidRDefault="0018569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66269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6269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22.0 წელი</w:t>
                        </w:r>
                      </w:p>
                      <w:p w:rsidR="00185693" w:rsidRPr="00DE4001" w:rsidRDefault="0018569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662694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66269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6269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8.1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544364">
        <w:rPr>
          <w:noProof/>
          <w:sz w:val="18"/>
          <w:szCs w:val="18"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202" w:rsidRPr="001C5235" w:rsidRDefault="009363B9" w:rsidP="00AF4C0D">
      <w:pPr>
        <w:tabs>
          <w:tab w:val="left" w:pos="720"/>
        </w:tabs>
        <w:spacing w:after="0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32055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32BDD">
        <w:rPr>
          <w:rFonts w:ascii="Sylfaen" w:hAnsi="Sylfaen" w:cs="Sylfaen"/>
          <w:szCs w:val="21"/>
          <w:shd w:val="clear" w:color="auto" w:fill="FFFFFF"/>
          <w:lang w:val="ka-GE"/>
        </w:rPr>
        <w:t>58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36419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B32BDD">
        <w:rPr>
          <w:rFonts w:ascii="Sylfaen" w:hAnsi="Sylfaen" w:cs="Sylfaen"/>
          <w:szCs w:val="21"/>
          <w:shd w:val="clear" w:color="auto" w:fill="FFFFFF"/>
          <w:lang w:val="ka-GE"/>
        </w:rPr>
        <w:t>33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7509F" w:rsidRDefault="00B32BDD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>
        <w:rPr>
          <w:noProof/>
        </w:rPr>
        <w:drawing>
          <wp:inline distT="0" distB="0" distL="0" distR="0" wp14:anchorId="75416A7E" wp14:editId="1F2DA936">
            <wp:extent cx="3275330" cy="1963972"/>
            <wp:effectExtent l="0" t="0" r="127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0C98" w:rsidRPr="0057502A">
        <w:rPr>
          <w:rFonts w:ascii="Sylfaen" w:hAnsi="Sylfaen"/>
          <w:lang w:val="ka-GE"/>
        </w:rPr>
        <w:t xml:space="preserve">  </w:t>
      </w:r>
      <w:r>
        <w:rPr>
          <w:noProof/>
        </w:rPr>
        <w:drawing>
          <wp:inline distT="0" distB="0" distL="0" distR="0" wp14:anchorId="3B1530C6" wp14:editId="203CA5F3">
            <wp:extent cx="2615565" cy="189219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39AC" w:rsidRDefault="00D839AC" w:rsidP="00E27402">
      <w:pPr>
        <w:tabs>
          <w:tab w:val="left" w:pos="360"/>
        </w:tabs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D839AC" w:rsidRDefault="00D839AC" w:rsidP="00E27402">
      <w:pPr>
        <w:tabs>
          <w:tab w:val="left" w:pos="360"/>
        </w:tabs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071D1D" w:rsidRDefault="00784855" w:rsidP="00E27402">
      <w:pPr>
        <w:tabs>
          <w:tab w:val="left" w:pos="360"/>
        </w:tabs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440D7B">
        <w:rPr>
          <w:rFonts w:ascii="Sylfaen" w:hAnsi="Sylfaen"/>
          <w:b/>
          <w:sz w:val="20"/>
          <w:szCs w:val="20"/>
          <w:lang w:val="ka-GE"/>
        </w:rPr>
        <w:lastRenderedPageBreak/>
        <w:t>მთავრობის</w:t>
      </w:r>
      <w:r w:rsidR="00071D1D" w:rsidRPr="00440D7B">
        <w:rPr>
          <w:rFonts w:ascii="Sylfaen" w:hAnsi="Sylfaen"/>
          <w:b/>
          <w:sz w:val="20"/>
          <w:szCs w:val="20"/>
          <w:lang w:val="ka-GE"/>
        </w:rPr>
        <w:t xml:space="preserve"> საგარეო ვალის სტრუქტურა - </w:t>
      </w:r>
      <w:r w:rsidRPr="00440D7B">
        <w:rPr>
          <w:rFonts w:ascii="Sylfaen" w:hAnsi="Sylfaen"/>
          <w:b/>
          <w:sz w:val="20"/>
          <w:szCs w:val="20"/>
          <w:lang w:val="ka-GE"/>
        </w:rPr>
        <w:t>2019</w:t>
      </w:r>
      <w:r w:rsidR="00E46C45" w:rsidRPr="00440D7B">
        <w:rPr>
          <w:rFonts w:ascii="Sylfaen" w:hAnsi="Sylfaen"/>
          <w:b/>
          <w:sz w:val="20"/>
          <w:szCs w:val="20"/>
          <w:lang w:val="ka-GE"/>
        </w:rPr>
        <w:t xml:space="preserve"> წლის </w:t>
      </w:r>
      <w:r w:rsidR="00551980" w:rsidRPr="00440D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1757D3" w:rsidRPr="00440D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185693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ოქტომბრის</w:t>
      </w:r>
      <w:r w:rsidR="001757D3" w:rsidRPr="00440D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E46C45" w:rsidRPr="00440D7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71D1D" w:rsidRPr="00440D7B">
        <w:rPr>
          <w:rFonts w:ascii="Sylfaen" w:hAnsi="Sylfaen"/>
          <w:b/>
          <w:sz w:val="20"/>
          <w:szCs w:val="20"/>
          <w:lang w:val="ka-GE"/>
        </w:rPr>
        <w:t>მდგომარეობით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2"/>
        <w:gridCol w:w="1021"/>
        <w:gridCol w:w="1355"/>
        <w:gridCol w:w="1361"/>
        <w:gridCol w:w="1769"/>
        <w:gridCol w:w="1187"/>
        <w:gridCol w:w="1494"/>
      </w:tblGrid>
      <w:tr w:rsidR="00CA7D70" w:rsidRPr="00D839AC" w:rsidTr="00CA7D70">
        <w:trPr>
          <w:trHeight w:val="601"/>
          <w:tblHeader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კრედიტის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ათასი</w:t>
            </w:r>
            <w:proofErr w:type="spellEnd"/>
            <w:r w:rsidR="00AF4C0D"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აშშ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ათასი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განაკვეთი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31.10.2019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შეწონილი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</w:tr>
      <w:tr w:rsidR="00185693" w:rsidRPr="00D839AC" w:rsidTr="00CA7D70">
        <w:trPr>
          <w:trHeight w:val="288"/>
        </w:trPr>
        <w:tc>
          <w:tcPr>
            <w:tcW w:w="14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5,212,904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15,446,877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CA7D70" w:rsidRPr="00D839AC" w:rsidTr="00CA7D70">
        <w:trPr>
          <w:trHeight w:val="288"/>
        </w:trPr>
        <w:tc>
          <w:tcPr>
            <w:tcW w:w="14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3,795,490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11,246,796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ასოციაცია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(WB - IDA)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726,872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2,153,867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0.105%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242,140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717,511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0.093%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9,443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27,982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52,506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155,585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 + Var. Spread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ასოციაცია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(WB - IBRD)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51,885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153,747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171,958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509,547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LIBOR + Variable Spread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0.082%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48,166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142,726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2.61%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9,211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27,294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2.67%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76,186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225,753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2.72%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0.040%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151,013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447,482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2.90%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0.084%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120,000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355,584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2.97%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0.068%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131,871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390,759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3.02%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0.076%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25,937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76,857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3.04%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3,853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11,416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22,114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65,529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3.29%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20,301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60,156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3.32%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25,469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75,471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3.32%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სოფლის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მეურნეობის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ფონდი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18,380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54,463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10,384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30,769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4,188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12,411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1.15%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სავალუტო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ფონდი</w:t>
            </w:r>
            <w:proofErr w:type="spellEnd"/>
            <w:r w:rsidR="00CA7D70">
              <w:rPr>
                <w:rFonts w:ascii="Calibri" w:eastAsia="Times New Roman" w:hAnsi="Calibri" w:cs="Calibri"/>
                <w:sz w:val="16"/>
                <w:szCs w:val="16"/>
              </w:rPr>
              <w:t xml:space="preserve"> (SBA</w:t>
            </w: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6,897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20,437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1.79%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ევროგაერთიანება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D839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11,124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32,963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14,461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42,852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16,686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49,445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ევროპის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რეკონსტრუქციის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116,739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345,921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0.74%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აზიის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62,078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183,949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354,044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1,049,102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0.102%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39,197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116,147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229,697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680,638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0.088%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86,815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257,251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0.34%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50,000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148,160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2.34%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0.022%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73,511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217,827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2.60%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0.037%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45,312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134,269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2.62%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50,000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148,160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2.68%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0.026%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28,864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85,530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2.74%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18,500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54,818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2.75%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39,046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115,700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2.80%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0.021%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14,000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41,485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3.08%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54,275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160,828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3.23%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0.034%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10,871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32,214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3.30%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აზიის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22,906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67,875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4.08%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ევროსაბჭოს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(CEB)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1,003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2,972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+ Variable Spread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0.21%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ევროპის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საინვესტიციო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(EIB)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9,290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27,530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22,248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65,926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11,124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32,963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25,837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76,560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22,248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65,926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1.94%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98,448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291,723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155,738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461,482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0.14%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116,507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345,235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0.39%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13,108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38,840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0.40%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10,613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31,448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0.46%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38,282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8E00B5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113,437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0.47%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3,337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9,889</w:t>
            </w:r>
          </w:p>
        </w:tc>
        <w:tc>
          <w:tcPr>
            <w:tcW w:w="8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0.51%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სკანდინავიური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გარემოსდაცვის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საფინანსო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კორპორაცია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(NEFCO) 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804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2,383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1.62%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D839AC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ორმხრივი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915,679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2,713,341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19,306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57,206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6,874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20,368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625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13,209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39,141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5,267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15,606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53,772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159,338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0.041%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7,554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22,384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120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355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325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14,421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42,733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CNY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1,275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3,779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KfW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1,497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4,435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EURIBOR+ 0.3%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0.05%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54,508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161,519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EURIBOR+ 0.75%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0.44%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124,591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369,188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18,925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56,078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1,663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4,927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31,703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93,942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27,493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81,467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13,155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38,982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30,591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90,648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0.033%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11,125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32,966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27,193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80,579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141,711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419,918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1,458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4,321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24,707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73,213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20,296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60,141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586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1,735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8,895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26,356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400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1,646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191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567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7,014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20,783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4,586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13,590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6,891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20,421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13,221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39,177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22,806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67,579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20,249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60,001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37,162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110,119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66,745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197,778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 + 0.33%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0.19%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66,745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197,778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0.25%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3,081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9,130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 + 1.8%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1.80%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4,083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12,098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D839AC" w:rsidRPr="00D839AC" w:rsidTr="00CA7D70">
        <w:trPr>
          <w:trHeight w:val="288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ფასიანი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1,481,600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ევროობლიგაცია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2021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500,000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1,481,600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0.659%</w:t>
            </w:r>
          </w:p>
        </w:tc>
      </w:tr>
      <w:tr w:rsidR="00D839AC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1,735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5,140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Fixed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185693" w:rsidRPr="00D839AC" w:rsidTr="00CA7D70">
        <w:trPr>
          <w:trHeight w:val="288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KfW</w:t>
            </w:r>
            <w:proofErr w:type="spellEnd"/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1,735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AF4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5,140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85693" w:rsidRPr="00D839AC" w:rsidTr="00CA7D70">
        <w:trPr>
          <w:trHeight w:val="288"/>
        </w:trPr>
        <w:tc>
          <w:tcPr>
            <w:tcW w:w="14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საშუალო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შეწონილი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39A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85693" w:rsidRPr="00D839AC" w:rsidRDefault="00185693" w:rsidP="00185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839A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2.10%</w:t>
            </w:r>
          </w:p>
        </w:tc>
      </w:tr>
    </w:tbl>
    <w:p w:rsidR="00E14FE1" w:rsidRDefault="00E14FE1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B443B2" w:rsidRPr="00D839AC" w:rsidRDefault="00E068DE" w:rsidP="00B443B2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686133">
        <w:rPr>
          <w:sz w:val="22"/>
          <w:szCs w:val="22"/>
          <w:shd w:val="clear" w:color="auto" w:fill="FFFFFF"/>
          <w:lang w:val="ka-GE"/>
        </w:rPr>
        <w:t>2020</w:t>
      </w:r>
      <w:r w:rsidR="00B443B2" w:rsidRPr="00686133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</w:t>
      </w:r>
      <w:r w:rsidR="00880C0C" w:rsidRPr="00686133">
        <w:rPr>
          <w:sz w:val="22"/>
          <w:szCs w:val="22"/>
          <w:shd w:val="clear" w:color="auto" w:fill="FFFFFF"/>
          <w:lang w:val="ka-GE"/>
        </w:rPr>
        <w:t xml:space="preserve"> 1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880C0C" w:rsidRPr="00686133">
        <w:rPr>
          <w:sz w:val="22"/>
          <w:szCs w:val="22"/>
          <w:shd w:val="clear" w:color="auto" w:fill="FFFFFF"/>
          <w:lang w:val="ka-GE"/>
        </w:rPr>
        <w:t>182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880C0C" w:rsidRPr="00686133">
        <w:rPr>
          <w:sz w:val="22"/>
          <w:szCs w:val="22"/>
          <w:shd w:val="clear" w:color="auto" w:fill="FFFFFF"/>
          <w:lang w:val="ka-GE"/>
        </w:rPr>
        <w:t>300</w:t>
      </w:r>
      <w:r w:rsidR="00B443B2" w:rsidRPr="00686133">
        <w:rPr>
          <w:sz w:val="22"/>
          <w:szCs w:val="22"/>
          <w:shd w:val="clear" w:color="auto" w:fill="FFFFFF"/>
          <w:lang w:val="ka-GE"/>
        </w:rPr>
        <w:t>.0 ათასი ლარის ოდენობით. ასევე</w:t>
      </w:r>
      <w:r w:rsidRPr="00D839AC">
        <w:rPr>
          <w:sz w:val="22"/>
          <w:szCs w:val="22"/>
          <w:shd w:val="clear" w:color="auto" w:fill="FFFFFF"/>
          <w:lang w:val="ka-GE"/>
        </w:rPr>
        <w:t>,</w:t>
      </w:r>
      <w:r w:rsidR="00B443B2" w:rsidRPr="00686133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 „სოციალური კეთილდღეობის პროგრამის“ ფარგლებში საფრანგეთის განვითარების სააგენტოდან (AFD) </w:t>
      </w:r>
      <w:r w:rsidR="00FD4901" w:rsidRPr="00686133">
        <w:rPr>
          <w:sz w:val="22"/>
          <w:szCs w:val="22"/>
          <w:shd w:val="clear" w:color="auto" w:fill="FFFFFF"/>
          <w:lang w:val="ka-GE"/>
        </w:rPr>
        <w:t>48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FD4901" w:rsidRPr="00686133">
        <w:rPr>
          <w:sz w:val="22"/>
          <w:szCs w:val="22"/>
          <w:shd w:val="clear" w:color="auto" w:fill="FFFFFF"/>
          <w:lang w:val="ka-GE"/>
        </w:rPr>
        <w:t xml:space="preserve">750.0 </w:t>
      </w:r>
      <w:r w:rsidR="00B443B2" w:rsidRPr="00686133">
        <w:rPr>
          <w:sz w:val="22"/>
          <w:szCs w:val="22"/>
          <w:shd w:val="clear" w:color="auto" w:fill="FFFFFF"/>
          <w:lang w:val="ka-GE"/>
        </w:rPr>
        <w:t xml:space="preserve">ათასი ლარის, „საქართველოში ენერგეტიკის სექტორის რეფორმის პროგრამის“ ფარგლებში საფრანგეთის განვითარების სააგენტოდან (AFD) </w:t>
      </w:r>
      <w:r w:rsidR="00FD4901" w:rsidRPr="00686133">
        <w:rPr>
          <w:sz w:val="22"/>
          <w:szCs w:val="22"/>
          <w:shd w:val="clear" w:color="auto" w:fill="FFFFFF"/>
          <w:lang w:val="ka-GE"/>
        </w:rPr>
        <w:t>126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FD4901" w:rsidRPr="00686133">
        <w:rPr>
          <w:sz w:val="22"/>
          <w:szCs w:val="22"/>
          <w:shd w:val="clear" w:color="auto" w:fill="FFFFFF"/>
          <w:lang w:val="ka-GE"/>
        </w:rPr>
        <w:t xml:space="preserve">500.0 </w:t>
      </w:r>
      <w:r w:rsidR="00B443B2" w:rsidRPr="00686133">
        <w:rPr>
          <w:sz w:val="22"/>
          <w:szCs w:val="22"/>
          <w:shd w:val="clear" w:color="auto" w:fill="FFFFFF"/>
          <w:lang w:val="ka-GE"/>
        </w:rPr>
        <w:t xml:space="preserve">ათასი ლარის, „საქართველოში ენერგეტიკის სექტორის რეფორმის პროგრამის“ ფარგლებში გერმანიის რეკონსტრუქციის საკრედიტო ბანკიდან (KfW) </w:t>
      </w:r>
      <w:r w:rsidR="00FD4901" w:rsidRPr="00686133">
        <w:rPr>
          <w:sz w:val="22"/>
          <w:szCs w:val="22"/>
          <w:shd w:val="clear" w:color="auto" w:fill="FFFFFF"/>
          <w:lang w:val="ka-GE"/>
        </w:rPr>
        <w:t>189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FD4901" w:rsidRPr="00686133">
        <w:rPr>
          <w:sz w:val="22"/>
          <w:szCs w:val="22"/>
          <w:shd w:val="clear" w:color="auto" w:fill="FFFFFF"/>
          <w:lang w:val="ka-GE"/>
        </w:rPr>
        <w:t xml:space="preserve">750.0 </w:t>
      </w:r>
      <w:r w:rsidR="00B443B2" w:rsidRPr="00686133">
        <w:rPr>
          <w:sz w:val="22"/>
          <w:szCs w:val="22"/>
          <w:shd w:val="clear" w:color="auto" w:fill="FFFFFF"/>
          <w:lang w:val="ka-GE"/>
        </w:rPr>
        <w:t>ათასი ლარის</w:t>
      </w:r>
      <w:r w:rsidR="00FD4901" w:rsidRPr="00686133">
        <w:rPr>
          <w:sz w:val="22"/>
          <w:szCs w:val="22"/>
          <w:shd w:val="clear" w:color="auto" w:fill="FFFFFF"/>
          <w:lang w:val="ka-GE"/>
        </w:rPr>
        <w:t>,</w:t>
      </w:r>
      <w:r w:rsidR="00B443B2" w:rsidRPr="00686133">
        <w:rPr>
          <w:sz w:val="22"/>
          <w:szCs w:val="22"/>
          <w:shd w:val="clear" w:color="auto" w:fill="FFFFFF"/>
          <w:lang w:val="ka-GE"/>
        </w:rPr>
        <w:t xml:space="preserve">  ევროკავშირის „მაკროფინანსური დახმარების პროგრამის“ ფარგლებში</w:t>
      </w:r>
      <w:r w:rsidR="00FD4901" w:rsidRPr="00686133">
        <w:rPr>
          <w:sz w:val="22"/>
          <w:szCs w:val="22"/>
          <w:shd w:val="clear" w:color="auto" w:fill="FFFFFF"/>
          <w:lang w:val="ka-GE"/>
        </w:rPr>
        <w:t xml:space="preserve"> (MFA)</w:t>
      </w:r>
      <w:r w:rsidRPr="00686133">
        <w:rPr>
          <w:sz w:val="22"/>
          <w:szCs w:val="22"/>
          <w:shd w:val="clear" w:color="auto" w:fill="FFFFFF"/>
          <w:lang w:val="ka-GE"/>
        </w:rPr>
        <w:t xml:space="preserve"> ევროკავშირიდან</w:t>
      </w:r>
      <w:r w:rsidR="00FD4901" w:rsidRPr="00686133">
        <w:rPr>
          <w:sz w:val="22"/>
          <w:szCs w:val="22"/>
          <w:shd w:val="clear" w:color="auto" w:fill="FFFFFF"/>
          <w:lang w:val="ka-GE"/>
        </w:rPr>
        <w:t xml:space="preserve"> (EU) 65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B443B2" w:rsidRPr="00686133">
        <w:rPr>
          <w:sz w:val="22"/>
          <w:szCs w:val="22"/>
          <w:shd w:val="clear" w:color="auto" w:fill="FFFFFF"/>
          <w:lang w:val="ka-GE"/>
        </w:rPr>
        <w:t>000.0 ათასი ლარის</w:t>
      </w:r>
      <w:r w:rsidR="00FD4901" w:rsidRPr="00686133">
        <w:rPr>
          <w:sz w:val="22"/>
          <w:szCs w:val="22"/>
          <w:shd w:val="clear" w:color="auto" w:fill="FFFFFF"/>
          <w:lang w:val="ka-GE"/>
        </w:rPr>
        <w:t>,</w:t>
      </w:r>
      <w:r w:rsidR="00B443B2" w:rsidRPr="00686133">
        <w:rPr>
          <w:sz w:val="22"/>
          <w:szCs w:val="22"/>
          <w:shd w:val="clear" w:color="auto" w:fill="FFFFFF"/>
          <w:lang w:val="ka-GE"/>
        </w:rPr>
        <w:t xml:space="preserve"> </w:t>
      </w:r>
      <w:r w:rsidR="00FD4901" w:rsidRPr="00686133">
        <w:rPr>
          <w:sz w:val="22"/>
          <w:szCs w:val="22"/>
          <w:shd w:val="clear" w:color="auto" w:fill="FFFFFF"/>
          <w:lang w:val="ka-GE"/>
        </w:rPr>
        <w:t>სსე-ს კორპორატიზაციისა და ენერგობაზრის რეფორმის პროგრამის ფარგლებში აზიის განვითარების ბანკიდან (ADB) 105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FD4901" w:rsidRPr="00686133">
        <w:rPr>
          <w:sz w:val="22"/>
          <w:szCs w:val="22"/>
          <w:shd w:val="clear" w:color="auto" w:fill="FFFFFF"/>
          <w:lang w:val="ka-GE"/>
        </w:rPr>
        <w:t>000.0  ათასი ლარის</w:t>
      </w:r>
      <w:r w:rsidR="00F324C5" w:rsidRPr="00686133">
        <w:rPr>
          <w:sz w:val="22"/>
          <w:szCs w:val="22"/>
          <w:shd w:val="clear" w:color="auto" w:fill="FFFFFF"/>
          <w:lang w:val="ka-GE"/>
        </w:rPr>
        <w:t xml:space="preserve"> და </w:t>
      </w:r>
      <w:r w:rsidR="00FD4901" w:rsidRPr="00686133">
        <w:rPr>
          <w:sz w:val="22"/>
          <w:szCs w:val="22"/>
          <w:shd w:val="clear" w:color="auto" w:fill="FFFFFF"/>
          <w:lang w:val="ka-GE"/>
        </w:rPr>
        <w:t>განვითარების პოლიტიკის ოპერაციის (DPO-2019) პროგრამის ფარგლებში მსოფლიო ბანკიდან (WB) 150</w:t>
      </w:r>
      <w:r w:rsidR="008E00B5">
        <w:rPr>
          <w:sz w:val="22"/>
          <w:szCs w:val="22"/>
          <w:shd w:val="clear" w:color="auto" w:fill="FFFFFF"/>
          <w:lang w:val="ka-GE"/>
        </w:rPr>
        <w:t xml:space="preserve"> </w:t>
      </w:r>
      <w:r w:rsidR="00FD4901" w:rsidRPr="00686133">
        <w:rPr>
          <w:sz w:val="22"/>
          <w:szCs w:val="22"/>
          <w:shd w:val="clear" w:color="auto" w:fill="FFFFFF"/>
          <w:lang w:val="ka-GE"/>
        </w:rPr>
        <w:t>000.0  ათასი ლარის</w:t>
      </w:r>
      <w:r w:rsidR="00F324C5" w:rsidRPr="00686133">
        <w:rPr>
          <w:sz w:val="22"/>
          <w:szCs w:val="22"/>
          <w:shd w:val="clear" w:color="auto" w:fill="FFFFFF"/>
          <w:lang w:val="ka-GE"/>
        </w:rPr>
        <w:t xml:space="preserve"> </w:t>
      </w:r>
      <w:r w:rsidR="00FD4901" w:rsidRPr="00686133">
        <w:rPr>
          <w:sz w:val="22"/>
          <w:szCs w:val="22"/>
          <w:shd w:val="clear" w:color="auto" w:fill="FFFFFF"/>
          <w:lang w:val="ka-GE"/>
        </w:rPr>
        <w:t>ათვისებას.</w:t>
      </w:r>
      <w:r w:rsidRPr="00686133">
        <w:rPr>
          <w:sz w:val="22"/>
          <w:szCs w:val="22"/>
          <w:shd w:val="clear" w:color="auto" w:fill="FFFFFF"/>
          <w:lang w:val="ka-GE"/>
        </w:rPr>
        <w:t xml:space="preserve"> </w:t>
      </w:r>
    </w:p>
    <w:p w:rsidR="00B443B2" w:rsidRDefault="00B443B2" w:rsidP="00B443B2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86133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</w:t>
      </w:r>
      <w:r w:rsidR="00686133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86133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686133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8613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686133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86133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 საქართველოს 2020 წლის სახელმწიფო ბიუჯეტის პროექტით გათვალისწინებულია</w:t>
      </w:r>
      <w:r w:rsidRPr="00686133">
        <w:rPr>
          <w:rFonts w:ascii="Sylfaen" w:hAnsi="Sylfaen" w:cs="Sylfaen"/>
          <w:szCs w:val="21"/>
          <w:shd w:val="clear" w:color="auto" w:fill="FFFFFF"/>
        </w:rPr>
        <w:t xml:space="preserve"> 1</w:t>
      </w:r>
      <w:r w:rsidR="008E00B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86133">
        <w:rPr>
          <w:rFonts w:ascii="Sylfaen" w:hAnsi="Sylfaen" w:cs="Sylfaen"/>
          <w:szCs w:val="21"/>
          <w:shd w:val="clear" w:color="auto" w:fill="FFFFFF"/>
        </w:rPr>
        <w:t>3</w:t>
      </w:r>
      <w:r w:rsidR="006C4D68" w:rsidRPr="00686133">
        <w:rPr>
          <w:rFonts w:ascii="Sylfaen" w:hAnsi="Sylfaen" w:cs="Sylfaen"/>
          <w:szCs w:val="21"/>
          <w:shd w:val="clear" w:color="auto" w:fill="FFFFFF"/>
        </w:rPr>
        <w:t>50</w:t>
      </w:r>
      <w:r w:rsidR="008E00B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86133">
        <w:rPr>
          <w:rFonts w:ascii="Sylfaen" w:hAnsi="Sylfaen" w:cs="Sylfaen"/>
          <w:szCs w:val="21"/>
          <w:shd w:val="clear" w:color="auto" w:fill="FFFFFF"/>
        </w:rPr>
        <w:t>000</w:t>
      </w:r>
      <w:r w:rsidRPr="00686133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6C4D68" w:rsidRPr="00686133">
        <w:rPr>
          <w:rFonts w:ascii="Sylfaen" w:hAnsi="Sylfaen" w:cs="Sylfaen"/>
          <w:szCs w:val="21"/>
          <w:shd w:val="clear" w:color="auto" w:fill="FFFFFF"/>
        </w:rPr>
        <w:t>975</w:t>
      </w:r>
      <w:r w:rsidR="008E00B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86133">
        <w:rPr>
          <w:rFonts w:ascii="Sylfaen" w:hAnsi="Sylfaen" w:cs="Sylfaen"/>
          <w:szCs w:val="21"/>
          <w:shd w:val="clear" w:color="auto" w:fill="FFFFFF"/>
        </w:rPr>
        <w:t>000</w:t>
      </w:r>
      <w:r w:rsidRPr="00686133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6C4D68" w:rsidRPr="00686133">
        <w:rPr>
          <w:rFonts w:ascii="Sylfaen" w:hAnsi="Sylfaen" w:cs="Sylfaen"/>
          <w:szCs w:val="21"/>
          <w:shd w:val="clear" w:color="auto" w:fill="FFFFFF"/>
        </w:rPr>
        <w:t>375</w:t>
      </w:r>
      <w:r w:rsidR="008E00B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86133">
        <w:rPr>
          <w:rFonts w:ascii="Sylfaen" w:hAnsi="Sylfaen" w:cs="Sylfaen"/>
          <w:szCs w:val="21"/>
          <w:shd w:val="clear" w:color="auto" w:fill="FFFFFF"/>
        </w:rPr>
        <w:t>000</w:t>
      </w:r>
      <w:r w:rsidRPr="00686133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4816BC" w:rsidRPr="00B443B2" w:rsidRDefault="00FE7942" w:rsidP="00E27402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  <w:r w:rsidRPr="00B443B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B443B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2020</w:t>
      </w:r>
      <w:r w:rsidR="000F5720" w:rsidRPr="00B443B2">
        <w:rPr>
          <w:rFonts w:ascii="Sylfaen" w:hAnsi="Sylfaen"/>
          <w:b/>
          <w:sz w:val="20"/>
          <w:szCs w:val="20"/>
          <w:lang w:val="ka-GE"/>
        </w:rPr>
        <w:t xml:space="preserve"> წლის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თვის</w:t>
      </w:r>
      <w:r w:rsidR="000F5720" w:rsidRPr="00B443B2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(პროგნოზი)</w:t>
      </w:r>
    </w:p>
    <w:p w:rsidR="006067BC" w:rsidRPr="002A5333" w:rsidRDefault="00EA293E" w:rsidP="002A5333">
      <w:pPr>
        <w:tabs>
          <w:tab w:val="left" w:pos="0"/>
        </w:tabs>
        <w:spacing w:after="0" w:line="240" w:lineRule="auto"/>
        <w:ind w:right="709" w:firstLine="720"/>
        <w:jc w:val="right"/>
        <w:rPr>
          <w:rFonts w:ascii="Sylfaen" w:hAnsi="Sylfaen"/>
          <w:i/>
          <w:noProof/>
          <w:color w:val="000000"/>
          <w:sz w:val="17"/>
          <w:szCs w:val="17"/>
          <w:lang w:val="ka-GE"/>
        </w:rPr>
      </w:pPr>
      <w:r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</w:t>
      </w:r>
      <w:r w:rsidR="002A5333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</w:t>
      </w:r>
      <w:r w:rsidR="00C05951">
        <w:rPr>
          <w:rFonts w:ascii="Sylfaen" w:hAnsi="Sylfaen"/>
          <w:i/>
          <w:noProof/>
          <w:color w:val="000000"/>
          <w:sz w:val="17"/>
          <w:szCs w:val="17"/>
        </w:rPr>
        <w:t xml:space="preserve">   </w:t>
      </w:r>
      <w:r w:rsidR="002A5333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</w:t>
      </w:r>
      <w:r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</w:t>
      </w:r>
      <w:r w:rsidR="00FB01F8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>ათასი ლარი</w:t>
      </w:r>
      <w:r w:rsidR="00C05951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</w:t>
      </w:r>
      <w:r w:rsidR="00B57E95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                                                                                                                          </w:t>
      </w:r>
    </w:p>
    <w:tbl>
      <w:tblPr>
        <w:tblStyle w:val="TableGrid"/>
        <w:tblW w:w="4972" w:type="pct"/>
        <w:tblInd w:w="-5" w:type="dxa"/>
        <w:tblLook w:val="04A0" w:firstRow="1" w:lastRow="0" w:firstColumn="1" w:lastColumn="0" w:noHBand="0" w:noVBand="1"/>
      </w:tblPr>
      <w:tblGrid>
        <w:gridCol w:w="2819"/>
        <w:gridCol w:w="2489"/>
        <w:gridCol w:w="2542"/>
        <w:gridCol w:w="2212"/>
      </w:tblGrid>
      <w:tr w:rsidR="000C22AF" w:rsidRPr="000C22AF" w:rsidTr="00D839AC">
        <w:trPr>
          <w:trHeight w:val="448"/>
          <w:tblHeader/>
        </w:trPr>
        <w:tc>
          <w:tcPr>
            <w:tcW w:w="1401" w:type="pct"/>
            <w:hideMark/>
          </w:tcPr>
          <w:p w:rsidR="000C22AF" w:rsidRPr="00855E99" w:rsidRDefault="00B57E95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55E99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      </w:t>
            </w:r>
            <w:proofErr w:type="spellStart"/>
            <w:r w:rsidR="000C22AF" w:rsidRPr="00855E99">
              <w:rPr>
                <w:rFonts w:ascii="Sylfaen" w:hAnsi="Sylfaen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1237" w:type="pct"/>
            <w:hideMark/>
          </w:tcPr>
          <w:p w:rsidR="000C22AF" w:rsidRPr="00855E99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>ვალების</w:t>
            </w:r>
            <w:proofErr w:type="spellEnd"/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263" w:type="pct"/>
            <w:hideMark/>
          </w:tcPr>
          <w:p w:rsidR="000C22AF" w:rsidRPr="00855E99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099" w:type="pct"/>
            <w:hideMark/>
          </w:tcPr>
          <w:p w:rsidR="000C22AF" w:rsidRPr="00855E99" w:rsidRDefault="000C22AF" w:rsidP="000C22AF">
            <w:pPr>
              <w:tabs>
                <w:tab w:val="left" w:pos="720"/>
              </w:tabs>
              <w:spacing w:after="12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>სულ</w:t>
            </w:r>
            <w:proofErr w:type="spellEnd"/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 xml:space="preserve"> 2020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4,102.1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588.0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4,690.1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4,115.7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1,203.5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5,319.2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29,741.9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6,440.8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36,182.7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84,331.8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19,949.8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104,281.6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7,026.2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1,172.3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8,198.6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4,891.8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609.6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5,501.4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3,589.3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572.1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4,161.4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2,910.7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432.6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3,343.4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13,345.9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6,958.5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20,304.4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754.7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83.4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838.0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32,392.7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5,881.1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38,273.9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6,786.3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1,201.8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7,988.2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-  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11,884.8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11,884.8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lastRenderedPageBreak/>
              <w:t>უკრაინა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126.8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7.1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133.9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138.9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7.8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146.6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69,160.8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5,042.2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74,203.1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1,266.0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-  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1,266.0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IDA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334,117.7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30,687.2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364,804.9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IBRD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39,136.7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103,153.6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142,290.3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IFAD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4,141.6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1,250.6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5,392.2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EBRD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58,547.1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5,744.0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64,291.1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EIB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34,398.5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10,505.6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44,904.1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ADB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239,164.8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57,676.1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296,840.8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IMF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-  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63.6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63.6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EU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-  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1,392.6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1,392.6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CEB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-  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48.6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48.6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AIIB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-  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602.5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602.5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>NEFCO</w:t>
            </w:r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480.5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202.5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683.0 </w:t>
            </w:r>
          </w:p>
        </w:tc>
      </w:tr>
      <w:tr w:rsidR="00FD7FD6" w:rsidRPr="000C22AF" w:rsidTr="008E00B5">
        <w:trPr>
          <w:trHeight w:val="308"/>
        </w:trPr>
        <w:tc>
          <w:tcPr>
            <w:tcW w:w="1401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237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-   </w:t>
            </w:r>
          </w:p>
        </w:tc>
        <w:tc>
          <w:tcPr>
            <w:tcW w:w="1263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102,135.0 </w:t>
            </w:r>
          </w:p>
        </w:tc>
        <w:tc>
          <w:tcPr>
            <w:tcW w:w="1099" w:type="pct"/>
            <w:noWrap/>
            <w:hideMark/>
          </w:tcPr>
          <w:p w:rsidR="00FD7FD6" w:rsidRPr="00855E99" w:rsidRDefault="00FD7FD6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55E99">
              <w:rPr>
                <w:rFonts w:ascii="Sylfaen" w:hAnsi="Sylfaen"/>
                <w:sz w:val="18"/>
                <w:szCs w:val="18"/>
              </w:rPr>
              <w:t xml:space="preserve"> 102,135.0 </w:t>
            </w:r>
          </w:p>
        </w:tc>
      </w:tr>
      <w:tr w:rsidR="006C4D68" w:rsidRPr="000C22AF" w:rsidTr="008E00B5">
        <w:trPr>
          <w:trHeight w:val="308"/>
        </w:trPr>
        <w:tc>
          <w:tcPr>
            <w:tcW w:w="1401" w:type="pct"/>
            <w:hideMark/>
          </w:tcPr>
          <w:p w:rsidR="006C4D68" w:rsidRPr="00855E99" w:rsidRDefault="006C4D68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1237" w:type="pct"/>
            <w:hideMark/>
          </w:tcPr>
          <w:p w:rsidR="006C4D68" w:rsidRPr="00855E99" w:rsidRDefault="006C4D68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 xml:space="preserve"> 975,000 </w:t>
            </w:r>
          </w:p>
        </w:tc>
        <w:tc>
          <w:tcPr>
            <w:tcW w:w="1263" w:type="pct"/>
            <w:hideMark/>
          </w:tcPr>
          <w:p w:rsidR="006C4D68" w:rsidRPr="00855E99" w:rsidRDefault="006C4D68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 xml:space="preserve"> 375,000 </w:t>
            </w:r>
          </w:p>
        </w:tc>
        <w:tc>
          <w:tcPr>
            <w:tcW w:w="1099" w:type="pct"/>
            <w:hideMark/>
          </w:tcPr>
          <w:p w:rsidR="006C4D68" w:rsidRPr="00855E99" w:rsidRDefault="006C4D68" w:rsidP="008E00B5">
            <w:pPr>
              <w:tabs>
                <w:tab w:val="left" w:pos="720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855E99">
              <w:rPr>
                <w:rFonts w:ascii="Sylfaen" w:hAnsi="Sylfaen"/>
                <w:b/>
                <w:bCs/>
                <w:sz w:val="18"/>
                <w:szCs w:val="18"/>
              </w:rPr>
              <w:t xml:space="preserve"> 1,350,000 </w:t>
            </w:r>
          </w:p>
        </w:tc>
      </w:tr>
    </w:tbl>
    <w:p w:rsidR="00CA7D70" w:rsidRDefault="008E00B5" w:rsidP="00662694">
      <w:pPr>
        <w:tabs>
          <w:tab w:val="left" w:pos="720"/>
        </w:tabs>
        <w:spacing w:after="0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/>
          <w:b/>
          <w:sz w:val="12"/>
          <w:szCs w:val="12"/>
          <w:lang w:val="ka-GE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თვიანი სახაზინო 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 და 2, 5 და 10 წლიანი სახაზინო ობლიგაციების ემისია. 201</w:t>
      </w:r>
      <w:r w:rsidR="00863DFC" w:rsidRPr="00896E1D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D26200" w:rsidRPr="00896E1D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02796C" w:rsidRPr="00896E1D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96E1D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ოქტომბრის 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თვიანზე </w:t>
      </w:r>
      <w:r w:rsidR="00896E1D" w:rsidRPr="00896E1D">
        <w:rPr>
          <w:rFonts w:ascii="Sylfaen" w:hAnsi="Sylfaen" w:cs="Sylfaen"/>
          <w:szCs w:val="21"/>
          <w:shd w:val="clear" w:color="auto" w:fill="FFFFFF"/>
          <w:lang w:val="ka-GE"/>
        </w:rPr>
        <w:t>8.0</w:t>
      </w:r>
      <w:r w:rsidR="00015303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 w:rsidR="00896E1D" w:rsidRPr="00896E1D">
        <w:rPr>
          <w:rFonts w:ascii="Sylfaen" w:hAnsi="Sylfaen" w:cs="Sylfaen"/>
          <w:szCs w:val="21"/>
          <w:shd w:val="clear" w:color="auto" w:fill="FFFFFF"/>
          <w:lang w:val="ka-GE"/>
        </w:rPr>
        <w:t>8.0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373CFF">
        <w:rPr>
          <w:rFonts w:ascii="Sylfaen" w:hAnsi="Sylfaen" w:cs="Sylfaen"/>
          <w:szCs w:val="21"/>
          <w:shd w:val="clear" w:color="auto" w:fill="FFFFFF"/>
        </w:rPr>
        <w:t>8</w:t>
      </w:r>
      <w:r w:rsidR="00015303" w:rsidRPr="00896E1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73CFF">
        <w:rPr>
          <w:rFonts w:ascii="Sylfaen" w:hAnsi="Sylfaen" w:cs="Sylfaen"/>
          <w:szCs w:val="21"/>
          <w:shd w:val="clear" w:color="auto" w:fill="FFFFFF"/>
        </w:rPr>
        <w:t>2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373CFF">
        <w:rPr>
          <w:rFonts w:ascii="Sylfaen" w:hAnsi="Sylfaen" w:cs="Sylfaen"/>
          <w:szCs w:val="21"/>
          <w:shd w:val="clear" w:color="auto" w:fill="FFFFFF"/>
        </w:rPr>
        <w:t>9</w:t>
      </w:r>
      <w:r w:rsidR="00896E1D" w:rsidRPr="00896E1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73CFF">
        <w:rPr>
          <w:rFonts w:ascii="Sylfaen" w:hAnsi="Sylfaen" w:cs="Sylfaen"/>
          <w:szCs w:val="21"/>
          <w:shd w:val="clear" w:color="auto" w:fill="FFFFFF"/>
        </w:rPr>
        <w:t>1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896E1D" w:rsidRPr="00896E1D">
        <w:rPr>
          <w:rFonts w:ascii="Sylfaen" w:hAnsi="Sylfaen" w:cs="Sylfaen"/>
          <w:szCs w:val="21"/>
          <w:shd w:val="clear" w:color="auto" w:fill="FFFFFF"/>
          <w:lang w:val="ka-GE"/>
        </w:rPr>
        <w:t>9.</w:t>
      </w:r>
      <w:r w:rsidR="00373CFF">
        <w:rPr>
          <w:rFonts w:ascii="Sylfaen" w:hAnsi="Sylfaen" w:cs="Sylfaen"/>
          <w:szCs w:val="21"/>
          <w:shd w:val="clear" w:color="auto" w:fill="FFFFFF"/>
        </w:rPr>
        <w:t>6</w:t>
      </w:r>
      <w:r w:rsidR="00567ACE" w:rsidRPr="00896E1D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896E1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D839AC">
        <w:rPr>
          <w:rFonts w:ascii="Sylfaen" w:hAnsi="Sylfaen" w:cs="Sylfaen"/>
          <w:shd w:val="clear" w:color="auto" w:fill="FFFFFF"/>
          <w:lang w:val="ka-GE"/>
        </w:rPr>
        <w:tab/>
      </w:r>
    </w:p>
    <w:p w:rsidR="00B443B2" w:rsidRDefault="00D839AC" w:rsidP="00662694">
      <w:pPr>
        <w:tabs>
          <w:tab w:val="left" w:pos="720"/>
        </w:tabs>
        <w:spacing w:after="0"/>
        <w:jc w:val="both"/>
        <w:rPr>
          <w:rFonts w:ascii="Sylfaen" w:hAnsi="Sylfaen" w:cs="Sylfaen"/>
          <w:shd w:val="clear" w:color="auto" w:fill="FFFFFF"/>
          <w:lang w:val="ka-GE"/>
        </w:rPr>
      </w:pPr>
      <w:bookmarkStart w:id="0" w:name="_GoBack"/>
      <w:bookmarkEnd w:id="0"/>
      <w:r>
        <w:rPr>
          <w:rFonts w:ascii="Sylfaen" w:hAnsi="Sylfaen" w:cs="Sylfaen"/>
          <w:shd w:val="clear" w:color="auto" w:fill="FFFFFF"/>
          <w:lang w:val="ka-GE"/>
        </w:rPr>
        <w:tab/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="00567ACE"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="00567ACE"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</w:t>
      </w:r>
      <w:r w:rsidR="00E01FEC">
        <w:rPr>
          <w:rStyle w:val="FootnoteReference"/>
          <w:rFonts w:ascii="Sylfaen" w:hAnsi="Sylfaen" w:cs="Sylfaen"/>
          <w:shd w:val="clear" w:color="auto" w:fill="FFFFFF"/>
          <w:lang w:val="ka-GE"/>
        </w:rPr>
        <w:footnoteReference w:id="1"/>
      </w:r>
      <w:r w:rsidR="00567ACE" w:rsidRPr="00FB7087">
        <w:rPr>
          <w:rFonts w:ascii="Sylfaen" w:hAnsi="Sylfaen" w:cs="Sylfaen"/>
          <w:shd w:val="clear" w:color="auto" w:fill="FFFFFF"/>
          <w:lang w:val="ka-GE"/>
        </w:rPr>
        <w:t>ვალის ნაშთმა 201</w:t>
      </w:r>
      <w:r w:rsidR="00050EF1">
        <w:rPr>
          <w:rFonts w:ascii="Sylfaen" w:hAnsi="Sylfaen" w:cs="Sylfaen"/>
          <w:shd w:val="clear" w:color="auto" w:fill="FFFFFF"/>
          <w:lang w:val="ka-GE"/>
        </w:rPr>
        <w:t>9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D26200">
        <w:rPr>
          <w:rFonts w:ascii="Sylfaen" w:hAnsi="Sylfaen" w:cs="Sylfaen"/>
          <w:szCs w:val="21"/>
          <w:shd w:val="clear" w:color="auto" w:fill="FFFFFF"/>
        </w:rPr>
        <w:t>31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01FEC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 w:rsidR="00D26200">
        <w:rPr>
          <w:rFonts w:ascii="Sylfaen" w:hAnsi="Sylfaen" w:cs="Sylfaen"/>
          <w:shd w:val="clear" w:color="auto" w:fill="FFFFFF"/>
          <w:lang w:val="ka-GE"/>
        </w:rPr>
        <w:t>ი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>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="00E01FEC" w:rsidRPr="00D217E7">
        <w:rPr>
          <w:rFonts w:ascii="Sylfaen" w:hAnsi="Sylfaen" w:cs="Sylfaen"/>
          <w:shd w:val="clear" w:color="auto" w:fill="FFFFFF"/>
          <w:lang w:val="ka-GE"/>
        </w:rPr>
        <w:t xml:space="preserve"> 3 882.3 </w:t>
      </w:r>
      <w:r w:rsidR="0087661E" w:rsidRPr="00D217E7">
        <w:rPr>
          <w:rFonts w:ascii="Sylfaen" w:hAnsi="Sylfaen" w:cs="Sylfaen"/>
          <w:shd w:val="clear" w:color="auto" w:fill="FFFFFF"/>
          <w:lang w:val="ka-GE"/>
        </w:rPr>
        <w:t>მლნ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="00994CC0">
        <w:rPr>
          <w:rFonts w:ascii="Sylfaen" w:hAnsi="Sylfaen" w:cs="Sylfaen"/>
          <w:shd w:val="clear" w:color="auto" w:fill="FFFFFF"/>
          <w:lang w:val="ka-GE"/>
        </w:rPr>
        <w:t>(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</w:t>
      </w:r>
      <w:r w:rsidR="00567ACE" w:rsidRPr="00E01FEC">
        <w:rPr>
          <w:rFonts w:ascii="Sylfaen" w:hAnsi="Sylfaen"/>
          <w:szCs w:val="21"/>
          <w:shd w:val="clear" w:color="auto" w:fill="FFFFFF"/>
          <w:lang w:val="ka-GE"/>
        </w:rPr>
        <w:t xml:space="preserve">ნომინალებში - </w:t>
      </w:r>
      <w:r w:rsidR="00E01FEC" w:rsidRPr="00E01FEC">
        <w:rPr>
          <w:rFonts w:ascii="Sylfaen" w:hAnsi="Sylfaen"/>
          <w:szCs w:val="21"/>
          <w:shd w:val="clear" w:color="auto" w:fill="FFFFFF"/>
          <w:lang w:val="ka-GE"/>
        </w:rPr>
        <w:t>3</w:t>
      </w:r>
      <w:r w:rsidR="00AF4C0D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E01FEC" w:rsidRPr="00E01FEC">
        <w:rPr>
          <w:rFonts w:ascii="Sylfaen" w:hAnsi="Sylfaen"/>
          <w:szCs w:val="21"/>
          <w:shd w:val="clear" w:color="auto" w:fill="FFFFFF"/>
          <w:lang w:val="ka-GE"/>
        </w:rPr>
        <w:t>875.9</w:t>
      </w:r>
      <w:r w:rsidR="00E01FEC" w:rsidRPr="00E01FE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E01FEC">
        <w:rPr>
          <w:rFonts w:ascii="Sylfaen" w:hAnsi="Sylfaen"/>
          <w:szCs w:val="21"/>
          <w:shd w:val="clear" w:color="auto" w:fill="FFFFFF"/>
          <w:lang w:val="ka-GE"/>
        </w:rPr>
        <w:t>6.4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), </w:t>
      </w:r>
      <w:r w:rsidR="00567ACE" w:rsidRPr="00E01FEC">
        <w:rPr>
          <w:rFonts w:ascii="Sylfaen" w:hAnsi="Sylfaen" w:cs="Sylfaen"/>
          <w:shd w:val="clear" w:color="auto" w:fill="FFFFFF"/>
          <w:lang w:val="ka-GE"/>
        </w:rPr>
        <w:t xml:space="preserve">აქედან </w:t>
      </w:r>
      <w:r w:rsidR="00E01FEC">
        <w:rPr>
          <w:rFonts w:ascii="Sylfaen" w:hAnsi="Sylfaen" w:cs="Sylfaen"/>
          <w:shd w:val="clear" w:color="auto" w:fill="FFFFFF"/>
          <w:lang w:val="ka-GE"/>
        </w:rPr>
        <w:t xml:space="preserve">3 </w:t>
      </w:r>
      <w:r w:rsidR="00E01FEC" w:rsidRPr="00E01FEC">
        <w:rPr>
          <w:rFonts w:ascii="Sylfaen" w:hAnsi="Sylfaen" w:cs="Sylfaen"/>
          <w:shd w:val="clear" w:color="auto" w:fill="FFFFFF"/>
          <w:lang w:val="ka-GE"/>
        </w:rPr>
        <w:t>475.0</w:t>
      </w:r>
      <w:r w:rsidR="00E01FEC">
        <w:rPr>
          <w:rFonts w:ascii="Sylfaen" w:eastAsia="Times New Roman" w:hAnsi="Sylfaen" w:cs="Calibri"/>
          <w:b/>
          <w:bCs/>
          <w:color w:val="FFFFFF"/>
          <w:sz w:val="16"/>
          <w:szCs w:val="16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567ACE" w:rsidRPr="00E01FEC">
        <w:rPr>
          <w:rFonts w:ascii="Sylfaen" w:hAnsi="Sylfaen"/>
          <w:szCs w:val="21"/>
          <w:shd w:val="clear" w:color="auto" w:fill="FFFFFF"/>
          <w:lang w:val="ka-GE"/>
        </w:rPr>
        <w:t xml:space="preserve">ხოლო </w:t>
      </w:r>
      <w:r w:rsidR="00E01FEC" w:rsidRPr="00E01FEC">
        <w:rPr>
          <w:rFonts w:ascii="Sylfaen" w:hAnsi="Sylfaen"/>
          <w:szCs w:val="21"/>
          <w:shd w:val="clear" w:color="auto" w:fill="FFFFFF"/>
          <w:lang w:val="ka-GE"/>
        </w:rPr>
        <w:t>400.8</w:t>
      </w:r>
      <w:r w:rsidR="00E01FE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 w:rsidR="00994CC0"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="00567ACE"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ნაწილში.</w:t>
      </w:r>
    </w:p>
    <w:p w:rsidR="00B2672E" w:rsidRDefault="00F26066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F26066" w:rsidRPr="00FB2B91" w:rsidRDefault="0044178B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1E6B6E"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>9</w:t>
      </w:r>
      <w:r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F26066"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0278EB"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64B20"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875BE3"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>ოქტომბრის</w:t>
      </w:r>
      <w:r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F26066" w:rsidRPr="00FB2B91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26066" w:rsidRPr="004150CD" w:rsidRDefault="00F26066" w:rsidP="004150CD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B443B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4150CD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3012"/>
      </w:tblGrid>
      <w:tr w:rsidR="0044178B" w:rsidRPr="00B34FAA" w:rsidTr="001D5B8D">
        <w:trPr>
          <w:trHeight w:val="547"/>
          <w:jc w:val="center"/>
        </w:trPr>
        <w:tc>
          <w:tcPr>
            <w:tcW w:w="3539" w:type="pct"/>
            <w:vAlign w:val="center"/>
            <w:hideMark/>
          </w:tcPr>
          <w:p w:rsidR="0044178B" w:rsidRPr="001D5B8D" w:rsidRDefault="0044178B" w:rsidP="001D5B8D">
            <w:pPr>
              <w:tabs>
                <w:tab w:val="left" w:pos="910"/>
                <w:tab w:val="center" w:pos="1431"/>
              </w:tabs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</w:pPr>
            <w:r w:rsidRPr="001D5B8D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vAlign w:val="center"/>
            <w:hideMark/>
          </w:tcPr>
          <w:p w:rsidR="0044178B" w:rsidRPr="001D5B8D" w:rsidRDefault="00A90CFB" w:rsidP="001D5B8D">
            <w:pPr>
              <w:tabs>
                <w:tab w:val="left" w:pos="910"/>
                <w:tab w:val="center" w:pos="1431"/>
              </w:tabs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</w:pPr>
            <w:r w:rsidRPr="00A90CFB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3,882,265.0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vAlign w:val="center"/>
            <w:hideMark/>
          </w:tcPr>
          <w:p w:rsidR="0044178B" w:rsidRPr="001D5B8D" w:rsidRDefault="001D5B8D" w:rsidP="00A90CFB">
            <w:pPr>
              <w:tabs>
                <w:tab w:val="left" w:pos="910"/>
                <w:tab w:val="center" w:pos="1431"/>
              </w:tabs>
              <w:jc w:val="center"/>
              <w:rPr>
                <w:rFonts w:ascii="Sylfaen" w:hAnsi="Sylfaen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1D5B8D">
              <w:rPr>
                <w:rFonts w:ascii="Sylfaen" w:hAnsi="Sylfaen" w:cs="Calibri"/>
                <w:b/>
                <w:bCs/>
                <w:iCs/>
                <w:color w:val="000000"/>
                <w:sz w:val="18"/>
                <w:szCs w:val="18"/>
              </w:rPr>
              <w:t>3,475,040.4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461" w:type="pct"/>
            <w:vAlign w:val="center"/>
          </w:tcPr>
          <w:p w:rsidR="0044178B" w:rsidRPr="001D5B8D" w:rsidRDefault="001D5B8D" w:rsidP="00A90CFB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1D5B8D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164,116.5</w:t>
            </w:r>
          </w:p>
        </w:tc>
      </w:tr>
      <w:tr w:rsidR="001D5B8D" w:rsidRPr="00B34FAA" w:rsidTr="0018569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1D5B8D" w:rsidRPr="00DD66EB" w:rsidRDefault="001D5B8D" w:rsidP="001D5B8D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:rsidR="001D5B8D" w:rsidRPr="001D5B8D" w:rsidRDefault="001D5B8D" w:rsidP="00A90CFB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1D5B8D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467,501.2</w:t>
            </w:r>
          </w:p>
        </w:tc>
      </w:tr>
      <w:tr w:rsidR="001D5B8D" w:rsidRPr="00B34FAA" w:rsidTr="0018569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1D5B8D" w:rsidRPr="00B34FAA" w:rsidRDefault="001D5B8D" w:rsidP="001D5B8D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hideMark/>
          </w:tcPr>
          <w:p w:rsidR="001D5B8D" w:rsidRPr="001D5B8D" w:rsidRDefault="001D5B8D" w:rsidP="001D5B8D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1D5B8D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 xml:space="preserve"> 1,038,278.3 </w:t>
            </w:r>
          </w:p>
        </w:tc>
      </w:tr>
      <w:tr w:rsidR="001D5B8D" w:rsidRPr="00B34FAA" w:rsidTr="0018569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1D5B8D" w:rsidRPr="00B34FAA" w:rsidRDefault="001D5B8D" w:rsidP="001D5B8D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1D5B8D" w:rsidRPr="001D5B8D" w:rsidRDefault="001D5B8D" w:rsidP="001D5B8D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1D5B8D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 xml:space="preserve"> 1,338,960.8 </w:t>
            </w:r>
          </w:p>
        </w:tc>
      </w:tr>
      <w:tr w:rsidR="001D5B8D" w:rsidRPr="00B34FAA" w:rsidTr="0018569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1D5B8D" w:rsidRPr="00B34FAA" w:rsidRDefault="001D5B8D" w:rsidP="001D5B8D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1D5B8D" w:rsidRPr="001D5B8D" w:rsidRDefault="001D5B8D" w:rsidP="001D5B8D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1D5B8D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 xml:space="preserve"> 466,183.6 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994C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vAlign w:val="center"/>
          </w:tcPr>
          <w:p w:rsidR="0044178B" w:rsidRPr="00B34FAA" w:rsidRDefault="00B2672E" w:rsidP="00A0714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4</w:t>
            </w:r>
            <w:r w:rsidR="00A07142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0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0</w:t>
            </w:r>
            <w:r w:rsidR="00E513A2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,846.0</w:t>
            </w:r>
          </w:p>
        </w:tc>
      </w:tr>
      <w:tr w:rsidR="004D00F5" w:rsidRPr="00B34FAA" w:rsidTr="00185693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D00F5" w:rsidRPr="00B34FAA" w:rsidRDefault="004D00F5" w:rsidP="004D00F5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hideMark/>
          </w:tcPr>
          <w:p w:rsidR="004D00F5" w:rsidRPr="004D00F5" w:rsidRDefault="004D00F5" w:rsidP="004D00F5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4D00F5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 xml:space="preserve"> 240,846 </w:t>
            </w:r>
          </w:p>
        </w:tc>
      </w:tr>
      <w:tr w:rsidR="004D00F5" w:rsidRPr="00B34FAA" w:rsidTr="00185693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D00F5" w:rsidRPr="00B34FAA" w:rsidRDefault="004D00F5" w:rsidP="004D00F5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hideMark/>
          </w:tcPr>
          <w:p w:rsidR="004D00F5" w:rsidRPr="004D00F5" w:rsidRDefault="004D00F5" w:rsidP="004D00F5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4D00F5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 xml:space="preserve"> 160,000 </w:t>
            </w:r>
          </w:p>
        </w:tc>
      </w:tr>
      <w:tr w:rsidR="00B2672E" w:rsidRPr="00B34FAA" w:rsidTr="00B34FAA">
        <w:trPr>
          <w:trHeight w:val="288"/>
          <w:jc w:val="center"/>
        </w:trPr>
        <w:tc>
          <w:tcPr>
            <w:tcW w:w="3539" w:type="pct"/>
            <w:vAlign w:val="center"/>
          </w:tcPr>
          <w:p w:rsidR="00B2672E" w:rsidRPr="00B34FAA" w:rsidRDefault="00B2672E" w:rsidP="00B2672E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ნაშ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  <w:vAlign w:val="center"/>
          </w:tcPr>
          <w:p w:rsidR="00B2672E" w:rsidRPr="00B34FAA" w:rsidRDefault="00A90CFB" w:rsidP="00B443B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6,378.6</w:t>
            </w:r>
          </w:p>
        </w:tc>
      </w:tr>
    </w:tbl>
    <w:p w:rsidR="00D57A95" w:rsidRDefault="00D57A95" w:rsidP="006A5B0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2020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საშინაო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მოსალოდნელ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კლებას</w:t>
      </w:r>
      <w:proofErr w:type="spellEnd"/>
      <w:r>
        <w:t xml:space="preserve"> </w:t>
      </w:r>
      <w:r w:rsidRPr="004804D2">
        <w:rPr>
          <w:rFonts w:ascii="Sylfaen" w:hAnsi="Sylfaen"/>
          <w:lang w:val="ka-GE"/>
        </w:rPr>
        <w:t>1</w:t>
      </w:r>
      <w:r w:rsidR="00AF4C0D" w:rsidRPr="004804D2">
        <w:rPr>
          <w:rFonts w:ascii="Sylfaen" w:hAnsi="Sylfaen"/>
          <w:lang w:val="ka-GE"/>
        </w:rPr>
        <w:t xml:space="preserve"> </w:t>
      </w:r>
      <w:r w:rsidR="004804D2" w:rsidRPr="004804D2">
        <w:rPr>
          <w:rFonts w:ascii="Sylfaen" w:hAnsi="Sylfaen"/>
        </w:rPr>
        <w:t>6</w:t>
      </w:r>
      <w:r w:rsidR="00B668D7" w:rsidRPr="004804D2">
        <w:rPr>
          <w:rFonts w:ascii="Sylfaen" w:hAnsi="Sylfaen"/>
        </w:rPr>
        <w:t>4</w:t>
      </w:r>
      <w:r w:rsidRPr="004804D2">
        <w:rPr>
          <w:rFonts w:ascii="Sylfaen" w:hAnsi="Sylfaen"/>
          <w:lang w:val="ka-GE"/>
        </w:rPr>
        <w:t>0</w:t>
      </w:r>
      <w:r w:rsidR="00AF4C0D" w:rsidRPr="004804D2">
        <w:rPr>
          <w:rFonts w:ascii="Sylfaen" w:hAnsi="Sylfaen"/>
          <w:lang w:val="ka-GE"/>
        </w:rPr>
        <w:t xml:space="preserve"> </w:t>
      </w:r>
      <w:r w:rsidRPr="004804D2">
        <w:rPr>
          <w:rFonts w:ascii="Sylfaen" w:hAnsi="Sylfaen"/>
          <w:lang w:val="ka-GE"/>
        </w:rPr>
        <w:t>000</w:t>
      </w:r>
      <w:r w:rsidRPr="004804D2">
        <w:rPr>
          <w:rFonts w:ascii="Sylfaen" w:hAnsi="Sylfaen"/>
        </w:rPr>
        <w:t>.0</w:t>
      </w:r>
      <w:r w:rsidRPr="004804D2">
        <w:t xml:space="preserve"> </w:t>
      </w:r>
      <w:proofErr w:type="spellStart"/>
      <w:r w:rsidRPr="004804D2"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lastRenderedPageBreak/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ობლიგაციების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დაფარვას</w:t>
      </w:r>
      <w:proofErr w:type="spellEnd"/>
      <w:r>
        <w:t xml:space="preserve"> - </w:t>
      </w:r>
      <w:r w:rsidR="00AF4C0D">
        <w:rPr>
          <w:rFonts w:ascii="Sylfaen" w:hAnsi="Sylfaen"/>
          <w:lang w:val="ka-GE"/>
        </w:rPr>
        <w:t xml:space="preserve">1 </w:t>
      </w:r>
      <w:r w:rsidR="004804D2">
        <w:rPr>
          <w:rFonts w:ascii="Sylfaen" w:hAnsi="Sylfaen"/>
        </w:rPr>
        <w:t>6</w:t>
      </w:r>
      <w:r>
        <w:rPr>
          <w:rFonts w:ascii="Sylfaen" w:hAnsi="Sylfaen"/>
          <w:lang w:val="ka-GE"/>
        </w:rPr>
        <w:t>00</w:t>
      </w:r>
      <w:r w:rsidR="00AF4C0D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proofErr w:type="spellStart"/>
      <w:r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ობლიგაციების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დაფარვას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სებ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ვალი</w:t>
      </w:r>
      <w:proofErr w:type="spellEnd"/>
      <w:r>
        <w:t xml:space="preserve">) – </w:t>
      </w:r>
      <w:r>
        <w:rPr>
          <w:rFonts w:ascii="Sylfaen" w:hAnsi="Sylfaen"/>
          <w:lang w:val="ka-GE"/>
        </w:rPr>
        <w:t>40</w:t>
      </w:r>
      <w:r w:rsidR="00AF4C0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proofErr w:type="spellStart"/>
      <w:r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ბანკის</w:t>
      </w:r>
      <w:proofErr w:type="spellEnd"/>
      <w:r>
        <w:t xml:space="preserve"> 2006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15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„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ბანკისადმი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დავალიანების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ღონისძიებების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2006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20 </w:t>
      </w:r>
      <w:proofErr w:type="spellStart"/>
      <w:r>
        <w:rPr>
          <w:rFonts w:ascii="Sylfaen" w:hAnsi="Sylfaen" w:cs="Sylfaen"/>
        </w:rPr>
        <w:t>მარტის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შეთანხმებაში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შეთანხმების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t xml:space="preserve">. </w:t>
      </w:r>
    </w:p>
    <w:p w:rsidR="00B443B2" w:rsidRPr="00373CFF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>
        <w:t>20</w:t>
      </w:r>
      <w:r w:rsidR="00FD603E">
        <w:t>20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განმავლობაში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ობლიგაციების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გამოშვება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განხორციელდება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მოცულობით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ფასიანი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ქაღალდების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ბაზარზე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განაკვეთების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შემოსულ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არაუმეტეს</w:t>
      </w:r>
      <w:proofErr w:type="spellEnd"/>
      <w:r>
        <w:t xml:space="preserve"> </w:t>
      </w:r>
      <w:r w:rsidR="00FD603E">
        <w:t>1,2</w:t>
      </w:r>
      <w:r>
        <w:t xml:space="preserve">00,000.0 </w:t>
      </w:r>
      <w:proofErr w:type="spellStart"/>
      <w:r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. </w:t>
      </w: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2018 </w:t>
      </w:r>
      <w:proofErr w:type="spellStart"/>
      <w:r>
        <w:rPr>
          <w:rFonts w:ascii="Sylfaen" w:hAnsi="Sylfaen" w:cs="Sylfaen"/>
        </w:rPr>
        <w:t>წლიდან</w:t>
      </w:r>
      <w:proofErr w:type="spellEnd"/>
      <w:r>
        <w:rPr>
          <w:rFonts w:ascii="Sylfaen" w:hAnsi="Sylfaen" w:cs="Sylfaen"/>
          <w:lang w:val="ka-GE"/>
        </w:rPr>
        <w:t>, ფასიანი ქაღალდების ბაზრის განვითარების მიზნით,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საქართველოს ფინანსთა სამინისტრომ დაიწყო ე.წ. </w:t>
      </w:r>
      <w:proofErr w:type="spellStart"/>
      <w:r>
        <w:rPr>
          <w:rFonts w:ascii="Sylfaen" w:hAnsi="Sylfaen" w:cs="Sylfaen"/>
        </w:rPr>
        <w:t>ბენჩმარკ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ბონდების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გამოშვებ</w:t>
      </w:r>
      <w:proofErr w:type="spellEnd"/>
      <w:r>
        <w:rPr>
          <w:rFonts w:ascii="Sylfaen" w:hAnsi="Sylfaen" w:cs="Sylfaen"/>
          <w:lang w:val="ka-GE"/>
        </w:rPr>
        <w:t>ა. აღნიშნული პოლიტიკის ხელშეწყობის მიზნით,</w:t>
      </w:r>
      <w:r>
        <w:t> </w:t>
      </w:r>
      <w:proofErr w:type="spellStart"/>
      <w:r>
        <w:rPr>
          <w:rFonts w:ascii="Sylfaen" w:hAnsi="Sylfaen" w:cs="Sylfaen"/>
        </w:rPr>
        <w:t>განიხილება</w:t>
      </w:r>
      <w:proofErr w:type="spellEnd"/>
      <w:r>
        <w:rPr>
          <w:rFonts w:ascii="Sylfaen" w:hAnsi="Sylfaen" w:cs="Sylfaen"/>
          <w:lang w:val="ka-GE"/>
        </w:rPr>
        <w:t xml:space="preserve"> დამატებით ახალი ინსტრუმენტის დანერგვა. რაც გულისხმობს, უკვე გამოშვებული ფასიანი ქაღალდების გამოსყიდვის ოპერაციების განხორციელებას. </w:t>
      </w:r>
      <w:r>
        <w:t xml:space="preserve">2019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 w:rsidR="000D7C7B">
        <w:rPr>
          <w:rFonts w:ascii="Sylfaen" w:hAnsi="Sylfaen" w:cs="Sylfaen"/>
          <w:lang w:val="ka-GE"/>
        </w:rPr>
        <w:t>მეოთხე კვარტლიდან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დაგეგმილია </w:t>
      </w:r>
      <w:proofErr w:type="spellStart"/>
      <w:r>
        <w:rPr>
          <w:rFonts w:ascii="Sylfaen" w:hAnsi="Sylfaen" w:cs="Sylfaen"/>
        </w:rPr>
        <w:t>ნაწილობრივი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გამოსყიდვების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ოპერაციების</w:t>
      </w:r>
      <w:proofErr w:type="spellEnd"/>
      <w:r>
        <w:t xml:space="preserve"> (Buyback Operations) </w:t>
      </w:r>
      <w:proofErr w:type="spellStart"/>
      <w:r>
        <w:rPr>
          <w:rFonts w:ascii="Sylfaen" w:hAnsi="Sylfaen" w:cs="Sylfaen"/>
        </w:rPr>
        <w:t>დაწყება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გავლენას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მოახდენს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საშინაო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დაფარვასა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ხარჯზე</w:t>
      </w:r>
      <w:proofErr w:type="spellEnd"/>
      <w:r>
        <w:t xml:space="preserve">. </w:t>
      </w:r>
    </w:p>
    <w:p w:rsidR="00734CC0" w:rsidRPr="00662694" w:rsidRDefault="000D7C7B" w:rsidP="006A5B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2020</w:t>
      </w:r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წლის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სახელმწიფო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ბიუჯეტის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კანონის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პროექტით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განსაზღვრული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საგარეო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და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საშინაო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ვალის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პარამეტრები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უზრუნველყოფენ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სახელმწიფო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ვალის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მდგრადობის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შენარჩუნებას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საშუალო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ვადიან</w:t>
      </w:r>
      <w:proofErr w:type="spellEnd"/>
      <w:r w:rsidR="00B443B2">
        <w:t xml:space="preserve"> </w:t>
      </w:r>
      <w:proofErr w:type="spellStart"/>
      <w:r w:rsidR="00B443B2">
        <w:rPr>
          <w:rFonts w:ascii="Sylfaen" w:hAnsi="Sylfaen" w:cs="Sylfaen"/>
        </w:rPr>
        <w:t>პერიოდში</w:t>
      </w:r>
      <w:proofErr w:type="spellEnd"/>
      <w:r w:rsidR="00662694">
        <w:rPr>
          <w:rFonts w:ascii="Sylfaen" w:hAnsi="Sylfaen" w:cs="Sylfaen"/>
          <w:lang w:val="ka-GE"/>
        </w:rPr>
        <w:t>.</w:t>
      </w:r>
    </w:p>
    <w:p w:rsidR="004150CD" w:rsidRPr="00AE74C8" w:rsidRDefault="0075480C" w:rsidP="00662694">
      <w:pPr>
        <w:tabs>
          <w:tab w:val="left" w:pos="720"/>
        </w:tabs>
        <w:spacing w:before="240" w:after="0" w:line="240" w:lineRule="auto"/>
        <w:jc w:val="center"/>
        <w:rPr>
          <w:rFonts w:ascii="Sylfaen" w:hAnsi="Sylfaen"/>
          <w:i/>
          <w:noProof/>
          <w:color w:val="000000"/>
          <w:sz w:val="20"/>
          <w:szCs w:val="20"/>
          <w:lang w:val="ka-GE"/>
        </w:rPr>
      </w:pPr>
      <w:r w:rsidRPr="00AE74C8">
        <w:rPr>
          <w:rFonts w:ascii="Sylfaen" w:hAnsi="Sylfaen"/>
          <w:b/>
          <w:sz w:val="20"/>
          <w:szCs w:val="20"/>
          <w:lang w:val="ka-GE"/>
        </w:rPr>
        <w:t>მთავრობის</w:t>
      </w:r>
      <w:r w:rsidR="000340AB" w:rsidRPr="00AE74C8">
        <w:rPr>
          <w:rFonts w:ascii="Sylfaen" w:hAnsi="Sylfaen"/>
          <w:b/>
          <w:sz w:val="20"/>
          <w:szCs w:val="20"/>
          <w:lang w:val="ka-GE"/>
        </w:rPr>
        <w:t xml:space="preserve"> ვალის 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საპროგნოზო ზღვრული მოცულობა</w:t>
      </w:r>
      <w:r w:rsidR="0032795B" w:rsidRPr="00AE74C8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1A397F" w:rsidRPr="00AE74C8">
        <w:rPr>
          <w:rFonts w:ascii="Sylfaen" w:hAnsi="Sylfaen"/>
          <w:b/>
          <w:sz w:val="20"/>
          <w:szCs w:val="20"/>
          <w:lang w:val="ka-GE"/>
        </w:rPr>
        <w:t>20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20</w:t>
      </w:r>
      <w:r w:rsidR="001A397F" w:rsidRPr="00AE74C8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340AB" w:rsidRPr="00AE74C8">
        <w:rPr>
          <w:rFonts w:ascii="Sylfaen" w:hAnsi="Sylfaen"/>
          <w:b/>
          <w:sz w:val="20"/>
          <w:szCs w:val="20"/>
          <w:lang w:val="ka-GE"/>
        </w:rPr>
        <w:t xml:space="preserve">წლის 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ბოლოსთვის</w:t>
      </w:r>
    </w:p>
    <w:p w:rsidR="00FB7087" w:rsidRDefault="000A553C" w:rsidP="00AE74C8">
      <w:pPr>
        <w:spacing w:after="0" w:line="240" w:lineRule="auto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</w:t>
      </w:r>
      <w:r w:rsidR="00C175C0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</w:t>
      </w: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937" w:type="dxa"/>
        <w:tblLook w:val="04A0" w:firstRow="1" w:lastRow="0" w:firstColumn="1" w:lastColumn="0" w:noHBand="0" w:noVBand="1"/>
      </w:tblPr>
      <w:tblGrid>
        <w:gridCol w:w="7839"/>
        <w:gridCol w:w="2098"/>
      </w:tblGrid>
      <w:tr w:rsidR="00734CC0" w:rsidRPr="00734CC0" w:rsidTr="00D839AC">
        <w:trPr>
          <w:trHeight w:val="683"/>
          <w:tblHeader/>
        </w:trPr>
        <w:tc>
          <w:tcPr>
            <w:tcW w:w="7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34CC0" w:rsidRPr="00734CC0" w:rsidRDefault="00734CC0" w:rsidP="00734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31.12.2020</w:t>
            </w:r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17,108,640.9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12,173,304.0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აზიის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3,803,866.3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აზიის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96,143.2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494,265.4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1,911,818.5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190,016.2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5,553,292.7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სოფლის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ფონდი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107,901.2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(CEB)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9,065.9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(NEFCO)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6,934.7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3,443,336.8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სომხეთი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16,318.2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აზერბაიჯანი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16,335.1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ავსტრია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51,417.7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ჩინეთი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2,535.2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საფრანგეთი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1,119,084.0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გერმანია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1,255,627.0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ირანი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12,238.8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იაპონია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709,809.2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ყაზახეთი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26,119.7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კუვეიტი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33,796.4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ნიდერლანდები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1,050.4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რუსეთი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120,347.4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თურქეთი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31,583.3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თურქმენეთი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627.9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უკრაინა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140.2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ამერიკა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46,152.8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უზბეკეთი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153.6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1,487,450.0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ევრობონდები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1,487,450.0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სახელმწიფო</w:t>
            </w:r>
            <w:proofErr w:type="spellEnd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4,550.1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4,550.1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39AC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="00D839AC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5,470,846.0</w:t>
            </w:r>
          </w:p>
        </w:tc>
      </w:tr>
      <w:tr w:rsidR="00734CC0" w:rsidRPr="00734CC0" w:rsidTr="00662694">
        <w:trPr>
          <w:trHeight w:val="524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200,846.0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ვადის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ღია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ბაზრის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152,000.0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886,000.0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734C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4,228,000.0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სესხის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სახით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არსებულ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ვალი</w:t>
            </w:r>
            <w:proofErr w:type="spellEnd"/>
            <w:r w:rsidRPr="00734CC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</w:t>
            </w:r>
          </w:p>
        </w:tc>
      </w:tr>
      <w:tr w:rsidR="00734CC0" w:rsidRPr="00734CC0" w:rsidTr="00662694">
        <w:trPr>
          <w:trHeight w:val="262"/>
        </w:trPr>
        <w:tc>
          <w:tcPr>
            <w:tcW w:w="78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734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CC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734CC0" w:rsidRPr="00734CC0" w:rsidRDefault="00734CC0" w:rsidP="00734C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4C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22,579,486.9</w:t>
            </w:r>
          </w:p>
        </w:tc>
      </w:tr>
    </w:tbl>
    <w:p w:rsidR="004D17D6" w:rsidRPr="00662694" w:rsidRDefault="00AE74C8" w:rsidP="00662694">
      <w:pPr>
        <w:spacing w:after="0"/>
        <w:ind w:firstLine="720"/>
        <w:jc w:val="both"/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</w:pPr>
      <w:r w:rsidRPr="004D17D6">
        <w:rPr>
          <w:rFonts w:ascii="Sylfaen" w:hAnsi="Sylfaen"/>
          <w:b/>
          <w:i/>
          <w:color w:val="595959" w:themeColor="text1" w:themeTint="A6"/>
          <w:sz w:val="18"/>
          <w:szCs w:val="18"/>
          <w:lang w:val="ka-GE"/>
        </w:rPr>
        <w:t>შენიშვნა: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ვალის </w:t>
      </w:r>
      <w:r w:rsidR="000C22AF"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ზღვრული მოცულობის გა</w:t>
      </w:r>
      <w:r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მოთვლისას გამოყენებულია </w:t>
      </w:r>
      <w:r w:rsidR="000C22AF"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2019 წლის 27 </w:t>
      </w:r>
      <w:r w:rsidR="00D84741"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ნოემბრის </w:t>
      </w:r>
      <w:r w:rsidR="000C22AF"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მოქმედი გაცვლითი </w:t>
      </w:r>
      <w:r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კურს</w:t>
      </w:r>
      <w:r w:rsidR="000C22AF"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ები:</w:t>
      </w:r>
      <w:r w:rsidRPr="00662694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1 EUR = 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>1.10</w:t>
      </w:r>
      <w:r w:rsid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 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>USD</w:t>
      </w:r>
      <w:r w:rsidR="00662694" w:rsidRP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1 SDR = 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>1.37</w:t>
      </w:r>
      <w:r w:rsid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 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>USD</w:t>
      </w:r>
      <w:r w:rsidR="00662694" w:rsidRP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>1</w:t>
      </w:r>
      <w:r w:rsidR="00A07142">
        <w:rPr>
          <w:rFonts w:ascii="Sylfaen" w:hAnsi="Sylfaen"/>
          <w:color w:val="595959" w:themeColor="text1" w:themeTint="A6"/>
          <w:sz w:val="18"/>
          <w:szCs w:val="18"/>
        </w:rPr>
        <w:t>0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 CNY = 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>1</w:t>
      </w:r>
      <w:r w:rsidR="00A07142">
        <w:rPr>
          <w:rFonts w:ascii="Sylfaen" w:hAnsi="Sylfaen"/>
          <w:color w:val="595959" w:themeColor="text1" w:themeTint="A6"/>
          <w:sz w:val="18"/>
          <w:szCs w:val="18"/>
        </w:rPr>
        <w:t>.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>4</w:t>
      </w:r>
      <w:r w:rsidR="00A07142">
        <w:rPr>
          <w:rFonts w:ascii="Sylfaen" w:hAnsi="Sylfaen"/>
          <w:color w:val="595959" w:themeColor="text1" w:themeTint="A6"/>
          <w:sz w:val="18"/>
          <w:szCs w:val="18"/>
        </w:rPr>
        <w:t>2</w:t>
      </w:r>
      <w:r w:rsid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 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>USD</w:t>
      </w:r>
      <w:r w:rsidR="00662694" w:rsidRP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>1</w:t>
      </w:r>
      <w:r w:rsidR="00A07142">
        <w:rPr>
          <w:rFonts w:ascii="Sylfaen" w:hAnsi="Sylfaen"/>
          <w:color w:val="595959" w:themeColor="text1" w:themeTint="A6"/>
          <w:sz w:val="18"/>
          <w:szCs w:val="18"/>
        </w:rPr>
        <w:t>00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 JPY = 0.</w:t>
      </w:r>
      <w:r w:rsidR="00A07142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 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>92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 USD</w:t>
      </w:r>
      <w:r w:rsidR="00662694" w:rsidRP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</w:rPr>
        <w:t>1 KWD = 3.2</w:t>
      </w:r>
      <w:r w:rsidR="00A07142">
        <w:rPr>
          <w:rFonts w:ascii="Sylfaen" w:hAnsi="Sylfaen"/>
          <w:color w:val="595959" w:themeColor="text1" w:themeTint="A6"/>
          <w:sz w:val="18"/>
          <w:szCs w:val="18"/>
        </w:rPr>
        <w:t>9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 USD</w:t>
      </w:r>
      <w:r w:rsidR="00662694" w:rsidRP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>1 USD</w:t>
      </w:r>
      <w:r w:rsidR="00D84741" w:rsidRPr="00662694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 = 2.97</w:t>
      </w:r>
      <w:r w:rsidR="004D17D6" w:rsidRPr="00662694">
        <w:rPr>
          <w:rFonts w:ascii="Sylfaen" w:hAnsi="Sylfaen"/>
          <w:color w:val="595959" w:themeColor="text1" w:themeTint="A6"/>
          <w:sz w:val="18"/>
          <w:szCs w:val="18"/>
        </w:rPr>
        <w:t xml:space="preserve"> GEL</w:t>
      </w:r>
    </w:p>
    <w:sectPr w:rsidR="004D17D6" w:rsidRPr="00662694" w:rsidSect="00D839AC">
      <w:footerReference w:type="default" r:id="rId11"/>
      <w:footerReference w:type="first" r:id="rId12"/>
      <w:pgSz w:w="11907" w:h="16839" w:code="9"/>
      <w:pgMar w:top="360" w:right="927" w:bottom="567" w:left="851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9D" w:rsidRDefault="005E4E9D" w:rsidP="00400BED">
      <w:pPr>
        <w:spacing w:after="0" w:line="240" w:lineRule="auto"/>
      </w:pPr>
      <w:r>
        <w:separator/>
      </w:r>
    </w:p>
  </w:endnote>
  <w:endnote w:type="continuationSeparator" w:id="0">
    <w:p w:rsidR="005E4E9D" w:rsidRDefault="005E4E9D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Segoe UI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04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693" w:rsidRDefault="001856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D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5693" w:rsidRDefault="00185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93" w:rsidRPr="00137A54" w:rsidRDefault="00185693" w:rsidP="00137A54">
    <w:pPr>
      <w:pStyle w:val="ListParagraph"/>
      <w:numPr>
        <w:ilvl w:val="0"/>
        <w:numId w:val="12"/>
      </w:numPr>
      <w:rPr>
        <w:rFonts w:ascii="Sylfaen" w:hAnsi="Sylfaen"/>
        <w:b/>
        <w:sz w:val="16"/>
        <w:szCs w:val="16"/>
        <w:lang w:val="ka-GE"/>
      </w:rPr>
    </w:pPr>
    <w:r w:rsidRPr="00236683">
      <w:rPr>
        <w:rFonts w:ascii="Sylfaen" w:hAnsi="Sylfaen"/>
        <w:i/>
        <w:sz w:val="16"/>
        <w:szCs w:val="16"/>
        <w:lang w:val="ka-GE"/>
      </w:rPr>
      <w:t>შენიშნა: ვალის ნაშთი არ მოიცავს საქართველოს სახელმწიფო ვალის შესახებ კანონის 48-ე მუხლით გათვალისწინებულ ვალდებულებებს,</w:t>
    </w:r>
    <w:r w:rsidRPr="00137A54">
      <w:rPr>
        <w:rFonts w:ascii="Sylfaen" w:hAnsi="Sylfaen"/>
        <w:b/>
        <w:sz w:val="16"/>
        <w:szCs w:val="16"/>
        <w:lang w:val="ka-GE"/>
      </w:rPr>
      <w:t xml:space="preserve"> </w:t>
    </w:r>
    <w:r w:rsidRPr="001D01A5">
      <w:rPr>
        <w:rFonts w:ascii="Sylfaen" w:hAnsi="Sylfaen"/>
        <w:i/>
        <w:sz w:val="16"/>
        <w:szCs w:val="16"/>
        <w:lang w:val="ka-GE"/>
      </w:rPr>
      <w:t>ვინაიდან აღნიშნულ მაჩვენებელზე არ არსებობს სრულყოფილი ინფორმაცია</w:t>
    </w:r>
  </w:p>
  <w:p w:rsidR="00185693" w:rsidRDefault="00185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9D" w:rsidRDefault="005E4E9D" w:rsidP="00400BED">
      <w:pPr>
        <w:spacing w:after="0" w:line="240" w:lineRule="auto"/>
      </w:pPr>
      <w:r>
        <w:separator/>
      </w:r>
    </w:p>
  </w:footnote>
  <w:footnote w:type="continuationSeparator" w:id="0">
    <w:p w:rsidR="005E4E9D" w:rsidRDefault="005E4E9D" w:rsidP="00400BED">
      <w:pPr>
        <w:spacing w:after="0" w:line="240" w:lineRule="auto"/>
      </w:pPr>
      <w:r>
        <w:continuationSeparator/>
      </w:r>
    </w:p>
  </w:footnote>
  <w:footnote w:id="1">
    <w:p w:rsidR="00185693" w:rsidRPr="00E01FEC" w:rsidRDefault="00185693" w:rsidP="00E01FE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rial"/>
          <w:color w:val="000000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rPr>
          <w:rFonts w:ascii="Sylfaen" w:eastAsia="Times New Roman" w:hAnsi="Sylfaen" w:cs="Arial"/>
          <w:b/>
          <w:bCs/>
          <w:color w:val="000000"/>
          <w:sz w:val="16"/>
          <w:szCs w:val="16"/>
        </w:rPr>
        <w:t>შენიშვნა</w:t>
      </w:r>
      <w:proofErr w:type="spellEnd"/>
      <w:proofErr w:type="gramEnd"/>
      <w:r>
        <w:rPr>
          <w:rFonts w:ascii="Sylfaen" w:eastAsia="Times New Roman" w:hAnsi="Sylfaen" w:cs="Arial"/>
          <w:b/>
          <w:bCs/>
          <w:color w:val="000000"/>
          <w:sz w:val="16"/>
          <w:szCs w:val="16"/>
        </w:rPr>
        <w:t xml:space="preserve">: </w:t>
      </w:r>
      <w:r>
        <w:rPr>
          <w:rFonts w:ascii="Sylfaen" w:eastAsia="Times New Roman" w:hAnsi="Sylfaen" w:cs="Arial"/>
          <w:color w:val="000000"/>
          <w:sz w:val="16"/>
          <w:szCs w:val="16"/>
          <w:lang w:val="ka-GE"/>
        </w:rPr>
        <w:t>მთავრობის</w:t>
      </w:r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საშინაო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ვალის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ნაშთი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არ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მოიცავს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ე.წ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. </w:t>
      </w:r>
      <w:r>
        <w:rPr>
          <w:rFonts w:ascii="Sylfaen" w:eastAsia="Times New Roman" w:hAnsi="Sylfaen" w:cs="Arial"/>
          <w:color w:val="000000"/>
          <w:sz w:val="16"/>
          <w:szCs w:val="16"/>
          <w:lang w:val="ka-GE"/>
        </w:rPr>
        <w:t>„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ისტორიულ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ვალს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". </w:t>
      </w:r>
      <w:r>
        <w:rPr>
          <w:rFonts w:ascii="Sylfaen" w:eastAsia="Times New Roman" w:hAnsi="Sylfaen" w:cs="Arial"/>
          <w:color w:val="000000"/>
          <w:sz w:val="16"/>
          <w:szCs w:val="16"/>
          <w:lang w:val="ka-GE"/>
        </w:rPr>
        <w:t>„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ისტორიული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ვალის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“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მოცულობა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საორიენტაციოა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ვინაიდან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ამ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კატეგორიის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 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უმეტესი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ნაწილი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Sylfaen" w:eastAsia="Times New Roman" w:hAnsi="Sylfaen" w:cs="Arial"/>
          <w:color w:val="000000"/>
          <w:sz w:val="16"/>
          <w:szCs w:val="16"/>
        </w:rPr>
        <w:t>დასაზუსტებელია</w:t>
      </w:r>
      <w:proofErr w:type="spellEnd"/>
      <w:r>
        <w:rPr>
          <w:rFonts w:ascii="Sylfaen" w:eastAsia="Times New Roman" w:hAnsi="Sylfaen" w:cs="Arial"/>
          <w:color w:val="000000"/>
          <w:sz w:val="16"/>
          <w:szCs w:val="16"/>
          <w:lang w:val="ka-G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8EB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9D1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13E"/>
    <w:rsid w:val="00074A14"/>
    <w:rsid w:val="0007502B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53C"/>
    <w:rsid w:val="000A5F64"/>
    <w:rsid w:val="000B16F8"/>
    <w:rsid w:val="000B2189"/>
    <w:rsid w:val="000B567A"/>
    <w:rsid w:val="000B6954"/>
    <w:rsid w:val="000B6CAA"/>
    <w:rsid w:val="000C139F"/>
    <w:rsid w:val="000C22AF"/>
    <w:rsid w:val="000C3566"/>
    <w:rsid w:val="000C416D"/>
    <w:rsid w:val="000C4A44"/>
    <w:rsid w:val="000C57D0"/>
    <w:rsid w:val="000D046A"/>
    <w:rsid w:val="000D159E"/>
    <w:rsid w:val="000D1A17"/>
    <w:rsid w:val="000D4D25"/>
    <w:rsid w:val="000D7C7B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4B2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5693"/>
    <w:rsid w:val="00187C1C"/>
    <w:rsid w:val="00190A72"/>
    <w:rsid w:val="00193364"/>
    <w:rsid w:val="00193C76"/>
    <w:rsid w:val="00197E9D"/>
    <w:rsid w:val="001A05B4"/>
    <w:rsid w:val="001A078F"/>
    <w:rsid w:val="001A1F25"/>
    <w:rsid w:val="001A2AFB"/>
    <w:rsid w:val="001A3600"/>
    <w:rsid w:val="001A397F"/>
    <w:rsid w:val="001A410C"/>
    <w:rsid w:val="001B010E"/>
    <w:rsid w:val="001B17E2"/>
    <w:rsid w:val="001B25C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5B8D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282B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02A4"/>
    <w:rsid w:val="00233B5E"/>
    <w:rsid w:val="0023438F"/>
    <w:rsid w:val="00236007"/>
    <w:rsid w:val="00236683"/>
    <w:rsid w:val="002402B6"/>
    <w:rsid w:val="0024105B"/>
    <w:rsid w:val="00242810"/>
    <w:rsid w:val="0024488E"/>
    <w:rsid w:val="00247C11"/>
    <w:rsid w:val="0025039F"/>
    <w:rsid w:val="00256FDD"/>
    <w:rsid w:val="00262BF3"/>
    <w:rsid w:val="00263EAD"/>
    <w:rsid w:val="00270120"/>
    <w:rsid w:val="00270C72"/>
    <w:rsid w:val="002758CB"/>
    <w:rsid w:val="0027700A"/>
    <w:rsid w:val="0028042E"/>
    <w:rsid w:val="0028088E"/>
    <w:rsid w:val="00280FA2"/>
    <w:rsid w:val="00281A88"/>
    <w:rsid w:val="00284761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333"/>
    <w:rsid w:val="002B1D15"/>
    <w:rsid w:val="002B1FB3"/>
    <w:rsid w:val="002B3E23"/>
    <w:rsid w:val="002B47AA"/>
    <w:rsid w:val="002B61B5"/>
    <w:rsid w:val="002B6DAE"/>
    <w:rsid w:val="002B6F15"/>
    <w:rsid w:val="002B7EE6"/>
    <w:rsid w:val="002C2C4F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1672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6419C"/>
    <w:rsid w:val="00372A1B"/>
    <w:rsid w:val="00373CFF"/>
    <w:rsid w:val="00375F6E"/>
    <w:rsid w:val="00377B9F"/>
    <w:rsid w:val="00382167"/>
    <w:rsid w:val="003838EC"/>
    <w:rsid w:val="003849ED"/>
    <w:rsid w:val="00387352"/>
    <w:rsid w:val="0039166F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492"/>
    <w:rsid w:val="003B5B47"/>
    <w:rsid w:val="003B68A7"/>
    <w:rsid w:val="003B775B"/>
    <w:rsid w:val="003C2AE8"/>
    <w:rsid w:val="003C2EF4"/>
    <w:rsid w:val="003C3825"/>
    <w:rsid w:val="003C5914"/>
    <w:rsid w:val="003C60E3"/>
    <w:rsid w:val="003C633D"/>
    <w:rsid w:val="003D0226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4D1C"/>
    <w:rsid w:val="004150CD"/>
    <w:rsid w:val="00416472"/>
    <w:rsid w:val="00425B8C"/>
    <w:rsid w:val="00425E7D"/>
    <w:rsid w:val="00426244"/>
    <w:rsid w:val="00427DC2"/>
    <w:rsid w:val="004324BD"/>
    <w:rsid w:val="00434625"/>
    <w:rsid w:val="00440D7B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209C"/>
    <w:rsid w:val="004804D2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00F5"/>
    <w:rsid w:val="004D0CBB"/>
    <w:rsid w:val="004D17A6"/>
    <w:rsid w:val="004D17D6"/>
    <w:rsid w:val="004D26F9"/>
    <w:rsid w:val="004D3EA2"/>
    <w:rsid w:val="004D7B47"/>
    <w:rsid w:val="004D7D53"/>
    <w:rsid w:val="004E160B"/>
    <w:rsid w:val="004E2497"/>
    <w:rsid w:val="004E422E"/>
    <w:rsid w:val="004E6C0E"/>
    <w:rsid w:val="004F2321"/>
    <w:rsid w:val="004F5AB2"/>
    <w:rsid w:val="0050185A"/>
    <w:rsid w:val="00501E22"/>
    <w:rsid w:val="005043D2"/>
    <w:rsid w:val="00510802"/>
    <w:rsid w:val="005131CE"/>
    <w:rsid w:val="00515451"/>
    <w:rsid w:val="005165EB"/>
    <w:rsid w:val="00523377"/>
    <w:rsid w:val="00523560"/>
    <w:rsid w:val="0053140C"/>
    <w:rsid w:val="00532055"/>
    <w:rsid w:val="0053399C"/>
    <w:rsid w:val="005349CA"/>
    <w:rsid w:val="00534D33"/>
    <w:rsid w:val="0053506B"/>
    <w:rsid w:val="005370EC"/>
    <w:rsid w:val="0054275A"/>
    <w:rsid w:val="00543222"/>
    <w:rsid w:val="00544364"/>
    <w:rsid w:val="00544450"/>
    <w:rsid w:val="00547406"/>
    <w:rsid w:val="00551980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D76E5"/>
    <w:rsid w:val="005E0A52"/>
    <w:rsid w:val="005E1257"/>
    <w:rsid w:val="005E2930"/>
    <w:rsid w:val="005E33C6"/>
    <w:rsid w:val="005E4E9D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67BC"/>
    <w:rsid w:val="00612D48"/>
    <w:rsid w:val="00615CCA"/>
    <w:rsid w:val="006168BD"/>
    <w:rsid w:val="006202AE"/>
    <w:rsid w:val="0062047A"/>
    <w:rsid w:val="006204B4"/>
    <w:rsid w:val="00620B4D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694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133"/>
    <w:rsid w:val="00686D87"/>
    <w:rsid w:val="0068719D"/>
    <w:rsid w:val="00691181"/>
    <w:rsid w:val="00693321"/>
    <w:rsid w:val="00693542"/>
    <w:rsid w:val="00694AB3"/>
    <w:rsid w:val="00694EFF"/>
    <w:rsid w:val="0069517D"/>
    <w:rsid w:val="006A0EC7"/>
    <w:rsid w:val="006A1E01"/>
    <w:rsid w:val="006A3476"/>
    <w:rsid w:val="006A41DE"/>
    <w:rsid w:val="006A47A2"/>
    <w:rsid w:val="006A5B01"/>
    <w:rsid w:val="006A7D49"/>
    <w:rsid w:val="006B0590"/>
    <w:rsid w:val="006B1B1E"/>
    <w:rsid w:val="006B398B"/>
    <w:rsid w:val="006B3FC1"/>
    <w:rsid w:val="006C2FB0"/>
    <w:rsid w:val="006C4D68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E719E"/>
    <w:rsid w:val="006F1443"/>
    <w:rsid w:val="006F1A93"/>
    <w:rsid w:val="006F2BB7"/>
    <w:rsid w:val="006F2F0A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4CC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4855"/>
    <w:rsid w:val="00785321"/>
    <w:rsid w:val="0078542F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0707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5F93"/>
    <w:rsid w:val="00826C90"/>
    <w:rsid w:val="0083184C"/>
    <w:rsid w:val="008330FC"/>
    <w:rsid w:val="00834365"/>
    <w:rsid w:val="00836A37"/>
    <w:rsid w:val="00840241"/>
    <w:rsid w:val="008405A5"/>
    <w:rsid w:val="008416A6"/>
    <w:rsid w:val="00844711"/>
    <w:rsid w:val="00844751"/>
    <w:rsid w:val="0085157F"/>
    <w:rsid w:val="008546EC"/>
    <w:rsid w:val="00855E99"/>
    <w:rsid w:val="008564DE"/>
    <w:rsid w:val="00861F1F"/>
    <w:rsid w:val="00862004"/>
    <w:rsid w:val="00863DFC"/>
    <w:rsid w:val="00864429"/>
    <w:rsid w:val="0086615D"/>
    <w:rsid w:val="00866340"/>
    <w:rsid w:val="00866C5D"/>
    <w:rsid w:val="00871B7C"/>
    <w:rsid w:val="00873FD3"/>
    <w:rsid w:val="00875BE3"/>
    <w:rsid w:val="0087661E"/>
    <w:rsid w:val="00880C0C"/>
    <w:rsid w:val="00881898"/>
    <w:rsid w:val="0088487C"/>
    <w:rsid w:val="00885C87"/>
    <w:rsid w:val="00890F23"/>
    <w:rsid w:val="008931CF"/>
    <w:rsid w:val="00895BDF"/>
    <w:rsid w:val="0089646B"/>
    <w:rsid w:val="00896E1D"/>
    <w:rsid w:val="008A1C29"/>
    <w:rsid w:val="008A296A"/>
    <w:rsid w:val="008A7DED"/>
    <w:rsid w:val="008B2C36"/>
    <w:rsid w:val="008B343B"/>
    <w:rsid w:val="008B5C79"/>
    <w:rsid w:val="008C0A08"/>
    <w:rsid w:val="008C107A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5596"/>
    <w:rsid w:val="008D7651"/>
    <w:rsid w:val="008D7B2F"/>
    <w:rsid w:val="008E00B5"/>
    <w:rsid w:val="008E40B9"/>
    <w:rsid w:val="008E435A"/>
    <w:rsid w:val="008E772B"/>
    <w:rsid w:val="008F0B91"/>
    <w:rsid w:val="00903ED6"/>
    <w:rsid w:val="00905BCC"/>
    <w:rsid w:val="0090753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6B7"/>
    <w:rsid w:val="00982850"/>
    <w:rsid w:val="00982E29"/>
    <w:rsid w:val="0098322B"/>
    <w:rsid w:val="00986AAF"/>
    <w:rsid w:val="009917B8"/>
    <w:rsid w:val="00991B14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07142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33B48"/>
    <w:rsid w:val="00A36390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278B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0CFB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E57"/>
    <w:rsid w:val="00AD6A17"/>
    <w:rsid w:val="00AE3BBE"/>
    <w:rsid w:val="00AE5631"/>
    <w:rsid w:val="00AE74C8"/>
    <w:rsid w:val="00AF0662"/>
    <w:rsid w:val="00AF30B1"/>
    <w:rsid w:val="00AF4C0D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64D"/>
    <w:rsid w:val="00B12E23"/>
    <w:rsid w:val="00B13F75"/>
    <w:rsid w:val="00B14B51"/>
    <w:rsid w:val="00B14CE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2672E"/>
    <w:rsid w:val="00B30876"/>
    <w:rsid w:val="00B3130D"/>
    <w:rsid w:val="00B32432"/>
    <w:rsid w:val="00B32BDD"/>
    <w:rsid w:val="00B34FAA"/>
    <w:rsid w:val="00B40EF1"/>
    <w:rsid w:val="00B443B2"/>
    <w:rsid w:val="00B44750"/>
    <w:rsid w:val="00B44900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68D7"/>
    <w:rsid w:val="00B67339"/>
    <w:rsid w:val="00B71FD1"/>
    <w:rsid w:val="00B72782"/>
    <w:rsid w:val="00B73877"/>
    <w:rsid w:val="00B741CD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D05"/>
    <w:rsid w:val="00BD2A19"/>
    <w:rsid w:val="00BD3C50"/>
    <w:rsid w:val="00BD4E03"/>
    <w:rsid w:val="00BD7F9C"/>
    <w:rsid w:val="00BE14E0"/>
    <w:rsid w:val="00BE4984"/>
    <w:rsid w:val="00BE4EE0"/>
    <w:rsid w:val="00BE777E"/>
    <w:rsid w:val="00BF06BD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05951"/>
    <w:rsid w:val="00C11D79"/>
    <w:rsid w:val="00C126E1"/>
    <w:rsid w:val="00C13117"/>
    <w:rsid w:val="00C136E3"/>
    <w:rsid w:val="00C15531"/>
    <w:rsid w:val="00C175C0"/>
    <w:rsid w:val="00C17F88"/>
    <w:rsid w:val="00C2136E"/>
    <w:rsid w:val="00C21AE9"/>
    <w:rsid w:val="00C31756"/>
    <w:rsid w:val="00C31F7F"/>
    <w:rsid w:val="00C3279B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2D73"/>
    <w:rsid w:val="00C9602D"/>
    <w:rsid w:val="00C9708E"/>
    <w:rsid w:val="00CA4A72"/>
    <w:rsid w:val="00CA65F9"/>
    <w:rsid w:val="00CA70A1"/>
    <w:rsid w:val="00CA7D70"/>
    <w:rsid w:val="00CB2BCD"/>
    <w:rsid w:val="00CB36D7"/>
    <w:rsid w:val="00CB3F5C"/>
    <w:rsid w:val="00CB5065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2D3C"/>
    <w:rsid w:val="00D0479D"/>
    <w:rsid w:val="00D04E46"/>
    <w:rsid w:val="00D05684"/>
    <w:rsid w:val="00D059C8"/>
    <w:rsid w:val="00D10101"/>
    <w:rsid w:val="00D1142C"/>
    <w:rsid w:val="00D12397"/>
    <w:rsid w:val="00D203DE"/>
    <w:rsid w:val="00D207EF"/>
    <w:rsid w:val="00D217E7"/>
    <w:rsid w:val="00D21BD3"/>
    <w:rsid w:val="00D2609D"/>
    <w:rsid w:val="00D261E7"/>
    <w:rsid w:val="00D26200"/>
    <w:rsid w:val="00D26939"/>
    <w:rsid w:val="00D31A08"/>
    <w:rsid w:val="00D32336"/>
    <w:rsid w:val="00D3238E"/>
    <w:rsid w:val="00D32582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C10"/>
    <w:rsid w:val="00D824F1"/>
    <w:rsid w:val="00D82521"/>
    <w:rsid w:val="00D82D13"/>
    <w:rsid w:val="00D839AC"/>
    <w:rsid w:val="00D83C3E"/>
    <w:rsid w:val="00D84173"/>
    <w:rsid w:val="00D84741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52A"/>
    <w:rsid w:val="00DD2856"/>
    <w:rsid w:val="00DD66EB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1FEC"/>
    <w:rsid w:val="00E02C4C"/>
    <w:rsid w:val="00E068DE"/>
    <w:rsid w:val="00E07907"/>
    <w:rsid w:val="00E079D4"/>
    <w:rsid w:val="00E11336"/>
    <w:rsid w:val="00E14FE1"/>
    <w:rsid w:val="00E17E10"/>
    <w:rsid w:val="00E20D5F"/>
    <w:rsid w:val="00E2136D"/>
    <w:rsid w:val="00E224DE"/>
    <w:rsid w:val="00E2573D"/>
    <w:rsid w:val="00E27402"/>
    <w:rsid w:val="00E30881"/>
    <w:rsid w:val="00E30ED7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0C3"/>
    <w:rsid w:val="00E81BCB"/>
    <w:rsid w:val="00E857B0"/>
    <w:rsid w:val="00E9045D"/>
    <w:rsid w:val="00E93712"/>
    <w:rsid w:val="00EA293E"/>
    <w:rsid w:val="00EA2D25"/>
    <w:rsid w:val="00EA388F"/>
    <w:rsid w:val="00EA46B3"/>
    <w:rsid w:val="00EA48BC"/>
    <w:rsid w:val="00EA65D7"/>
    <w:rsid w:val="00EB0470"/>
    <w:rsid w:val="00EB0989"/>
    <w:rsid w:val="00EB0EE9"/>
    <w:rsid w:val="00EB1B0E"/>
    <w:rsid w:val="00EB2E2F"/>
    <w:rsid w:val="00EB4097"/>
    <w:rsid w:val="00EB49AA"/>
    <w:rsid w:val="00EB7421"/>
    <w:rsid w:val="00EC0C5D"/>
    <w:rsid w:val="00EC2EC2"/>
    <w:rsid w:val="00EC5B6F"/>
    <w:rsid w:val="00EC634D"/>
    <w:rsid w:val="00EC701B"/>
    <w:rsid w:val="00ED0545"/>
    <w:rsid w:val="00ED0857"/>
    <w:rsid w:val="00ED14F4"/>
    <w:rsid w:val="00ED1C55"/>
    <w:rsid w:val="00ED39B6"/>
    <w:rsid w:val="00ED3F2C"/>
    <w:rsid w:val="00ED69D4"/>
    <w:rsid w:val="00EE375F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24C5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2702"/>
    <w:rsid w:val="00FB2B91"/>
    <w:rsid w:val="00FB7087"/>
    <w:rsid w:val="00FB723F"/>
    <w:rsid w:val="00FC40F7"/>
    <w:rsid w:val="00FD0340"/>
    <w:rsid w:val="00FD1BE5"/>
    <w:rsid w:val="00FD412B"/>
    <w:rsid w:val="00FD4331"/>
    <w:rsid w:val="00FD4901"/>
    <w:rsid w:val="00FD538A"/>
    <w:rsid w:val="00FD603E"/>
    <w:rsid w:val="00FD6622"/>
    <w:rsid w:val="00FD691A"/>
    <w:rsid w:val="00FD6A02"/>
    <w:rsid w:val="00FD7FD6"/>
    <w:rsid w:val="00FE24A2"/>
    <w:rsid w:val="00FE2A1F"/>
    <w:rsid w:val="00FE49DC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9205F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B443B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0D7B"/>
    <w:rPr>
      <w:color w:val="800080"/>
      <w:u w:val="single"/>
    </w:rPr>
  </w:style>
  <w:style w:type="paragraph" w:customStyle="1" w:styleId="msonormal0">
    <w:name w:val="msonormal"/>
    <w:basedOn w:val="Normal"/>
    <w:rsid w:val="0044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40D7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35633">
    <w:name w:val="xl35633"/>
    <w:basedOn w:val="Normal"/>
    <w:rsid w:val="00440D7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440D7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440D7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440D7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440D7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440D7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440D7B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440D7B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440D7B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440D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440D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440D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440D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440D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440D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440D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440D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440D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440D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9">
    <w:name w:val="xl35669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440D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440D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440D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440D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440D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440D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678">
    <w:name w:val="xl35678"/>
    <w:basedOn w:val="Normal"/>
    <w:rsid w:val="00440D7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440D7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440D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440D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440D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440D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440D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88">
    <w:name w:val="xl35688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0">
    <w:name w:val="xl35690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440D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440D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4">
    <w:name w:val="xl35694"/>
    <w:basedOn w:val="Normal"/>
    <w:rsid w:val="0044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5">
    <w:name w:val="xl35695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6">
    <w:name w:val="xl35696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7">
    <w:name w:val="xl35697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9">
    <w:name w:val="xl35699"/>
    <w:basedOn w:val="Normal"/>
    <w:rsid w:val="00440D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0">
    <w:name w:val="xl35700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1">
    <w:name w:val="xl35701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2">
    <w:name w:val="xl35702"/>
    <w:basedOn w:val="Normal"/>
    <w:rsid w:val="00440D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3">
    <w:name w:val="xl35703"/>
    <w:basedOn w:val="Normal"/>
    <w:rsid w:val="0044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4">
    <w:name w:val="xl35704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5">
    <w:name w:val="xl35705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6">
    <w:name w:val="xl35706"/>
    <w:basedOn w:val="Normal"/>
    <w:rsid w:val="00440D7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7">
    <w:name w:val="xl35707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8">
    <w:name w:val="xl35708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9">
    <w:name w:val="xl35709"/>
    <w:basedOn w:val="Normal"/>
    <w:rsid w:val="00440D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0">
    <w:name w:val="xl35710"/>
    <w:basedOn w:val="Normal"/>
    <w:rsid w:val="0044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1">
    <w:name w:val="xl35711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2">
    <w:name w:val="xl35712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440D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4">
    <w:name w:val="xl35714"/>
    <w:basedOn w:val="Normal"/>
    <w:rsid w:val="00440D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5">
    <w:name w:val="xl35715"/>
    <w:basedOn w:val="Normal"/>
    <w:rsid w:val="00440D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6">
    <w:name w:val="xl35716"/>
    <w:basedOn w:val="Normal"/>
    <w:rsid w:val="00440D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7">
    <w:name w:val="xl35717"/>
    <w:basedOn w:val="Normal"/>
    <w:rsid w:val="00440D7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8">
    <w:name w:val="xl35718"/>
    <w:basedOn w:val="Normal"/>
    <w:rsid w:val="00440D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9">
    <w:name w:val="xl35719"/>
    <w:basedOn w:val="Normal"/>
    <w:rsid w:val="00440D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0">
    <w:name w:val="xl35720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1">
    <w:name w:val="xl35721"/>
    <w:basedOn w:val="Normal"/>
    <w:rsid w:val="00440D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2">
    <w:name w:val="xl35722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3">
    <w:name w:val="xl35723"/>
    <w:basedOn w:val="Normal"/>
    <w:rsid w:val="00440D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4">
    <w:name w:val="xl35724"/>
    <w:basedOn w:val="Normal"/>
    <w:rsid w:val="00440D7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440D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440D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7">
    <w:name w:val="xl35727"/>
    <w:basedOn w:val="Normal"/>
    <w:rsid w:val="00440D7B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8">
    <w:name w:val="xl35728"/>
    <w:basedOn w:val="Normal"/>
    <w:rsid w:val="00440D7B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9">
    <w:name w:val="xl35729"/>
    <w:basedOn w:val="Normal"/>
    <w:rsid w:val="00440D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0">
    <w:name w:val="xl35730"/>
    <w:basedOn w:val="Normal"/>
    <w:rsid w:val="0044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1">
    <w:name w:val="xl35731"/>
    <w:basedOn w:val="Normal"/>
    <w:rsid w:val="0044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2">
    <w:name w:val="xl35732"/>
    <w:basedOn w:val="Normal"/>
    <w:rsid w:val="00440D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3">
    <w:name w:val="xl35733"/>
    <w:basedOn w:val="Normal"/>
    <w:rsid w:val="00440D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4">
    <w:name w:val="xl35734"/>
    <w:basedOn w:val="Normal"/>
    <w:rsid w:val="00440D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5">
    <w:name w:val="xl35735"/>
    <w:basedOn w:val="Normal"/>
    <w:rsid w:val="00440D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6">
    <w:name w:val="xl35736"/>
    <w:basedOn w:val="Normal"/>
    <w:rsid w:val="00440D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7">
    <w:name w:val="xl35737"/>
    <w:basedOn w:val="Normal"/>
    <w:rsid w:val="00440D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440D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39">
    <w:name w:val="xl35739"/>
    <w:basedOn w:val="Normal"/>
    <w:rsid w:val="00440D7B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0">
    <w:name w:val="xl35740"/>
    <w:basedOn w:val="Normal"/>
    <w:rsid w:val="00440D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1">
    <w:name w:val="xl35741"/>
    <w:basedOn w:val="Normal"/>
    <w:rsid w:val="00440D7B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2">
    <w:name w:val="xl35742"/>
    <w:basedOn w:val="Normal"/>
    <w:rsid w:val="00440D7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440D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440D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5">
    <w:name w:val="xl35745"/>
    <w:basedOn w:val="Normal"/>
    <w:rsid w:val="00440D7B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6">
    <w:name w:val="xl35746"/>
    <w:basedOn w:val="Normal"/>
    <w:rsid w:val="00440D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747">
    <w:name w:val="xl35747"/>
    <w:basedOn w:val="Normal"/>
    <w:rsid w:val="00440D7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748">
    <w:name w:val="xl35748"/>
    <w:basedOn w:val="Normal"/>
    <w:rsid w:val="00440D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9">
    <w:name w:val="xl35749"/>
    <w:basedOn w:val="Normal"/>
    <w:rsid w:val="00440D7B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0">
    <w:name w:val="xl35750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51">
    <w:name w:val="xl35751"/>
    <w:basedOn w:val="Normal"/>
    <w:rsid w:val="00440D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2">
    <w:name w:val="xl35752"/>
    <w:basedOn w:val="Normal"/>
    <w:rsid w:val="00440D7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3">
    <w:name w:val="xl35753"/>
    <w:basedOn w:val="Normal"/>
    <w:rsid w:val="00440D7B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4">
    <w:name w:val="xl35754"/>
    <w:basedOn w:val="Normal"/>
    <w:rsid w:val="00440D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440D7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440D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440D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440D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440D7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1">
    <w:name w:val="xl35761"/>
    <w:basedOn w:val="Normal"/>
    <w:rsid w:val="00440D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2">
    <w:name w:val="xl35762"/>
    <w:basedOn w:val="Normal"/>
    <w:rsid w:val="00440D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440D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440D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6">
    <w:name w:val="xl35766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440D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9">
    <w:name w:val="xl35769"/>
    <w:basedOn w:val="Normal"/>
    <w:rsid w:val="00440D7B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70">
    <w:name w:val="xl35770"/>
    <w:basedOn w:val="Normal"/>
    <w:rsid w:val="00440D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440D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nato.khaladze\Desktop\&#4305;&#4312;&#4323;&#4335;&#4308;&#4322;&#4312;\Average%20Weighted%20Interest%20Rate_2019%20OC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to.khaladze\Desktop\&#4305;&#4312;&#4323;&#4335;&#4308;&#4322;&#4312;\Average%20Weighted%20Interest%20Rate_2019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20%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>
                        <a:solidFill>
                          <a:sysClr val="windowText" lastClr="000000"/>
                        </a:solidFill>
                      </a:rPr>
                      <a:t>მრავალმხრივი
58%</a:t>
                    </a:r>
                    <a:endParaRPr lang="ka-GE" sz="900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2264321806981714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/>
                      <a:t>ორმხრივი 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58241758241756"/>
                      <c:h val="0.157659492563429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8.6104210891770241E-2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b="0">
                        <a:solidFill>
                          <a:sysClr val="windowText" lastClr="000000"/>
                        </a:solidFill>
                      </a:rPr>
                      <a:t>ევრობონდი 8 %</a:t>
                    </a:r>
                    <a:endParaRPr lang="ka-GE" sz="900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6501260577412"/>
                      <c:h val="0.157659492563429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80%</a:t>
                    </a:r>
                    <a:endParaRPr lang="ka-GE" sz="900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6DB-43D9-AFC8-C7DC7DDF16C3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6DB-43D9-AFC8-C7DC7DDF16C3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6DB-43D9-AFC8-C7DC7DDF16C3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DB-43D9-AFC8-C7DC7DDF16C3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DB-43D9-AFC8-C7DC7DDF16C3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DB-43D9-AFC8-C7DC7DDF16C3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DB-43D9-AFC8-C7DC7DDF16C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'GVT-OCT '!$K$40:$K$43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'GVT-OCT '!$M$40:$M$43</c:f>
              <c:numCache>
                <c:formatCode>0%</c:formatCode>
                <c:ptCount val="4"/>
                <c:pt idx="0">
                  <c:v>0.27813261864590388</c:v>
                </c:pt>
                <c:pt idx="1">
                  <c:v>0.32675067094833798</c:v>
                </c:pt>
                <c:pt idx="2">
                  <c:v>0.35173955957590902</c:v>
                </c:pt>
                <c:pt idx="3">
                  <c:v>4.3377150829849137E-2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6DB-43D9-AFC8-C7DC7DDF16C3}"/>
            </c:ext>
          </c:extLst>
        </c:ser>
        <c:ser>
          <c:idx val="1"/>
          <c:order val="1"/>
          <c:explosion val="25"/>
          <c:cat>
            <c:strRef>
              <c:f>'GVT-OCT '!$K$40:$K$43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'GVT-OCT '!$M$42:$M$45</c:f>
              <c:numCache>
                <c:formatCode>0%</c:formatCode>
                <c:ptCount val="4"/>
                <c:pt idx="0">
                  <c:v>0.35173955957590902</c:v>
                </c:pt>
                <c:pt idx="1">
                  <c:v>4.3377150829849137E-2</c:v>
                </c:pt>
                <c:pt idx="2" formatCode="0.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DB-43D9-AFC8-C7DC7DDF1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8574635241303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1970967054993723"/>
          <c:w val="0.80685640857392826"/>
          <c:h val="0.78953348632118814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FA-4A9E-9362-955E0445D921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CFFA-4A9E-9362-955E0445D921}"/>
              </c:ext>
            </c:extLst>
          </c:dPt>
          <c:dLbls>
            <c:dLbl>
              <c:idx val="0"/>
              <c:layout>
                <c:manualLayout>
                  <c:x val="-0.16480858100265633"/>
                  <c:y val="-0.1450923823267747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01461825647611"/>
                      <c:h val="0.232024169184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FA-4A9E-9362-955E0445D9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'GVT-OCT '!$L$33:$L$34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'GVT-OCT '!$M$33:$M$34</c:f>
              <c:numCache>
                <c:formatCode>_(* #,##0_);_(* \(#,##0\);_(* "-"??_);_(@_)</c:formatCode>
                <c:ptCount val="2"/>
                <c:pt idx="0">
                  <c:v>3046009.9092900003</c:v>
                </c:pt>
                <c:pt idx="1">
                  <c:v>2166894.0430000001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FA-4A9E-9362-955E0445D9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0.16605</cdr:x>
      <cdr:y>0.00028</cdr:y>
    </cdr:from>
    <cdr:to>
      <cdr:x>0.87658</cdr:x>
      <cdr:y>0.13386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2899" y="534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2B7A-3A1C-4776-B857-B9DF2C69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5</cp:revision>
  <cp:lastPrinted>2019-04-25T08:10:00Z</cp:lastPrinted>
  <dcterms:created xsi:type="dcterms:W3CDTF">2019-11-28T14:00:00Z</dcterms:created>
  <dcterms:modified xsi:type="dcterms:W3CDTF">2019-11-29T06:33:00Z</dcterms:modified>
</cp:coreProperties>
</file>